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6"/>
        <w:spacing w:line="525" w:lineRule="atLeast"/>
        <w:ind w:left="0" w:firstLine="225"/>
        <w:jc w:val="center"/>
        <w:rPr>
          <w:rStyle w:val="21"/>
          <w:rFonts w:hint="eastAsia" w:cs="宋体"/>
          <w:sz w:val="43"/>
          <w:szCs w:val="43"/>
          <w:lang w:val="en-US" w:eastAsia="zh-CN"/>
        </w:rPr>
      </w:pPr>
      <w:r>
        <w:rPr>
          <w:rStyle w:val="21"/>
          <w:rFonts w:hint="eastAsia" w:cs="宋体"/>
          <w:sz w:val="43"/>
          <w:szCs w:val="43"/>
          <w:lang w:val="en-US" w:eastAsia="zh-CN"/>
        </w:rPr>
        <w:t>海南省人民医院</w:t>
      </w:r>
    </w:p>
    <w:p>
      <w:pPr>
        <w:pStyle w:val="16"/>
        <w:spacing w:line="525" w:lineRule="atLeast"/>
        <w:ind w:left="0" w:firstLine="225"/>
        <w:jc w:val="center"/>
        <w:rPr>
          <w:rStyle w:val="21"/>
          <w:rFonts w:hint="eastAsia" w:cs="宋体"/>
          <w:sz w:val="43"/>
          <w:szCs w:val="43"/>
          <w:lang w:val="en-US" w:eastAsia="zh-CN"/>
        </w:rPr>
      </w:pPr>
      <w:r>
        <w:rPr>
          <w:rStyle w:val="21"/>
          <w:rFonts w:hint="eastAsia" w:cs="宋体"/>
          <w:sz w:val="43"/>
          <w:szCs w:val="43"/>
          <w:lang w:val="en-US" w:eastAsia="zh-CN"/>
        </w:rPr>
        <w:t xml:space="preserve"> </w:t>
      </w:r>
      <w:r>
        <w:rPr>
          <w:rStyle w:val="21"/>
          <w:rFonts w:hint="default" w:cs="宋体"/>
          <w:sz w:val="43"/>
          <w:szCs w:val="43"/>
          <w:lang w:val="en-US" w:eastAsia="zh-CN"/>
        </w:rPr>
        <w:t>2022</w:t>
      </w:r>
      <w:r>
        <w:rPr>
          <w:rStyle w:val="21"/>
          <w:rFonts w:hint="eastAsia" w:cs="宋体"/>
          <w:sz w:val="43"/>
          <w:szCs w:val="43"/>
          <w:lang w:val="en-US" w:eastAsia="zh-CN"/>
        </w:rPr>
        <w:t>年度2（高血压、糖尿病）＋3（严重精神障碍、结核病、肝炎）疾病防治</w:t>
      </w:r>
    </w:p>
    <w:p>
      <w:pPr>
        <w:pStyle w:val="16"/>
        <w:spacing w:line="525" w:lineRule="atLeast"/>
        <w:ind w:left="0" w:firstLine="225"/>
        <w:jc w:val="center"/>
        <w:rPr>
          <w:rStyle w:val="21"/>
          <w:rFonts w:hint="eastAsia" w:cs="宋体"/>
          <w:sz w:val="43"/>
          <w:szCs w:val="43"/>
          <w:lang w:val="en-US" w:eastAsia="zh-CN"/>
        </w:rPr>
      </w:pPr>
      <w:r>
        <w:rPr>
          <w:rStyle w:val="21"/>
          <w:rFonts w:hint="eastAsia" w:cs="宋体"/>
          <w:sz w:val="43"/>
          <w:szCs w:val="43"/>
          <w:lang w:val="en-US" w:eastAsia="zh-CN"/>
        </w:rPr>
        <w:t xml:space="preserve">项目支出绩效自评报告 </w:t>
      </w:r>
    </w:p>
    <w:p>
      <w:pPr>
        <w:pStyle w:val="16"/>
        <w:spacing w:line="360" w:lineRule="auto"/>
        <w:rPr>
          <w:highlight w:val="none"/>
          <w:lang w:val="en-US"/>
        </w:rPr>
      </w:pPr>
      <w:r>
        <w:rPr>
          <w:rFonts w:hint="eastAsia" w:ascii="黑体" w:hAnsi="宋体" w:eastAsia="黑体" w:cs="黑体"/>
          <w:sz w:val="31"/>
          <w:szCs w:val="31"/>
          <w:highlight w:val="none"/>
          <w:lang w:eastAsia="zh-CN"/>
        </w:rPr>
        <w:t>一、项目概况</w:t>
      </w:r>
      <w:r>
        <w:rPr>
          <w:rFonts w:hint="eastAsia" w:ascii="黑体" w:hAnsi="宋体" w:eastAsia="黑体" w:cs="黑体"/>
          <w:sz w:val="31"/>
          <w:szCs w:val="31"/>
          <w:highlight w:val="none"/>
          <w:lang w:val="en-US"/>
        </w:rPr>
        <w:t xml:space="preserve">    </w:t>
      </w:r>
    </w:p>
    <w:p>
      <w:pPr>
        <w:pStyle w:val="16"/>
        <w:spacing w:line="360" w:lineRule="auto"/>
        <w:ind w:left="0" w:firstLine="645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（一）项目基本情况：立项情况、实施主体项目、资金及主要内容</w:t>
      </w:r>
      <w:r>
        <w:rPr>
          <w:rFonts w:hint="eastAsia" w:ascii="仿宋" w:hAnsi="仿宋" w:eastAsia="仿宋" w:cs="仿宋"/>
          <w:sz w:val="28"/>
          <w:szCs w:val="28"/>
          <w:lang w:val="en-US"/>
        </w:rPr>
        <w:t xml:space="preserve">  </w:t>
      </w:r>
    </w:p>
    <w:p>
      <w:pPr>
        <w:pStyle w:val="16"/>
        <w:spacing w:line="360" w:lineRule="auto"/>
        <w:ind w:left="0" w:firstLine="645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预算单位 省人民医院 的项目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/>
        </w:rPr>
        <w:t>2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（高血压、糖尿病）＋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/>
        </w:rPr>
        <w:t>3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（严重精神障碍、结核病、肝炎）疾病防治项目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属于部门项目</w:t>
      </w:r>
    </w:p>
    <w:p>
      <w:pPr>
        <w:pStyle w:val="16"/>
        <w:spacing w:line="360" w:lineRule="auto"/>
        <w:ind w:left="0" w:firstLine="645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主管部门为省卫生健康委员会</w:t>
      </w:r>
    </w:p>
    <w:p>
      <w:pPr>
        <w:pStyle w:val="16"/>
        <w:spacing w:line="360" w:lineRule="auto"/>
        <w:ind w:left="0" w:firstLine="645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项目负责人为：吴彪</w:t>
      </w:r>
    </w:p>
    <w:p>
      <w:pPr>
        <w:pStyle w:val="16"/>
        <w:spacing w:line="360" w:lineRule="auto"/>
        <w:ind w:left="0" w:firstLine="645"/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eastAsia="zh-CN"/>
        </w:rPr>
        <w:t>联系电话：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/>
        </w:rPr>
        <w:t>18089803366</w:t>
      </w:r>
    </w:p>
    <w:p>
      <w:pPr>
        <w:pStyle w:val="16"/>
        <w:spacing w:line="360" w:lineRule="auto"/>
        <w:ind w:left="0" w:firstLine="645"/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eastAsia="zh-CN"/>
        </w:rPr>
        <w:t>项目概述如下：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/>
        </w:rPr>
        <w:t xml:space="preserve">“2+3”是指5种疾病，其中“2”指的是高血压、糖尿病，“3”指的是结核病、肝炎、严重精神障碍。通过实施“2+3”健康服务包，强化“2+3”疾病综合防治体系能力建设和管理服务水平，形成“海南模式”，努力消除“2+3”疾病对海南省居民健康危害，推动“2+3”疾病整体防治成效尽快实现全国领先，助力“十四五”末全省人均预期寿命达到81岁目标，助力健康海南和自贸港建设。“2+3”健康服务包工作已被列入2022年省政府工作报告。2022年3月18日，海南省人民政府办公厅印发了《海南省“2+3”健康服务包实施方案》（琼府办函〔2022〕91号），对“2+3”健康服务包工作作了全面部署，为人民群众提供连续、优质、高效、便利的“2+3”健康服务包服务，推动建设更高水平的健康岛、长寿岛。     </w:t>
      </w:r>
    </w:p>
    <w:p>
      <w:pPr>
        <w:pStyle w:val="16"/>
        <w:spacing w:line="360" w:lineRule="auto"/>
        <w:ind w:left="0" w:firstLine="645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（二）项目年度预算绩效目标和绩效指标设定情况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/>
        </w:rPr>
        <w:t xml:space="preserve">  </w:t>
      </w:r>
    </w:p>
    <w:p>
      <w:pPr>
        <w:pStyle w:val="16"/>
        <w:spacing w:line="360" w:lineRule="auto"/>
        <w:ind w:left="0" w:firstLine="645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总体目标：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/>
        </w:rPr>
        <w:t>通过实施“2</w:t>
      </w:r>
      <w:r>
        <w:rPr>
          <w:rFonts w:hint="eastAsia" w:ascii="仿宋" w:hAnsi="仿宋" w:eastAsia="仿宋" w:cs="仿宋"/>
          <w:sz w:val="28"/>
          <w:szCs w:val="28"/>
          <w:lang w:val="en-US"/>
        </w:rPr>
        <w:t>+3”健康服务包，强化“2+3”疾病综合防治体系能力建设和管理服务水平，形成“海南模式”，努力消除“2+3”疾病对海南省居民健康危害，推动“2+3”疾病整体防治成效尽快实现全国领先，助力“十四五”末全省人均预期寿命达到81岁目标，助力健康海南和自贸港建设。</w:t>
      </w:r>
    </w:p>
    <w:p>
      <w:pPr>
        <w:pStyle w:val="16"/>
        <w:spacing w:line="360" w:lineRule="auto"/>
        <w:ind w:left="0" w:firstLine="645"/>
        <w:rPr>
          <w:rFonts w:hint="default" w:ascii="仿宋" w:hAnsi="仿宋" w:eastAsia="仿宋" w:cs="仿宋"/>
          <w:sz w:val="28"/>
          <w:szCs w:val="28"/>
          <w:lang w:val="en-US"/>
        </w:rPr>
      </w:pPr>
      <w:r>
        <w:rPr>
          <w:rFonts w:hint="default" w:ascii="仿宋" w:hAnsi="仿宋" w:eastAsia="仿宋" w:cs="仿宋"/>
          <w:sz w:val="28"/>
          <w:szCs w:val="28"/>
          <w:lang w:val="en-US"/>
        </w:rPr>
        <w:t>2022年年度目标是：力争（2+3）项目取得预期成果，计划通过3-5年时间的努力，实现将我省2+3疾病防治工作提升到全国领先水平，形成全国领先经验。</w:t>
      </w:r>
    </w:p>
    <w:p>
      <w:pPr>
        <w:pStyle w:val="16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当年年度目标完成情况：</w:t>
      </w:r>
    </w:p>
    <w:p>
      <w:pPr>
        <w:pStyle w:val="27"/>
        <w:spacing w:line="360" w:lineRule="auto"/>
        <w:ind w:left="0" w:firstLine="495" w:firstLineChars="176"/>
        <w:rPr>
          <w:rFonts w:hint="eastAsia" w:ascii="仿宋" w:hAnsi="仿宋" w:eastAsia="仿宋" w:cs="仿宋"/>
          <w:b/>
          <w:bCs w:val="0"/>
          <w:sz w:val="28"/>
          <w:szCs w:val="28"/>
          <w:lang w:val="en-US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  <w:lang w:val="en-US"/>
        </w:rPr>
        <w:t>1.</w:t>
      </w:r>
      <w:r>
        <w:rPr>
          <w:rFonts w:hint="eastAsia" w:ascii="仿宋" w:hAnsi="仿宋" w:eastAsia="仿宋" w:cs="仿宋"/>
          <w:b/>
          <w:bCs w:val="0"/>
          <w:sz w:val="28"/>
          <w:szCs w:val="28"/>
          <w:lang w:eastAsia="zh-CN"/>
        </w:rPr>
        <w:t>设备购买</w:t>
      </w:r>
    </w:p>
    <w:p>
      <w:pPr>
        <w:pStyle w:val="27"/>
        <w:spacing w:line="360" w:lineRule="auto"/>
        <w:ind w:left="0" w:firstLine="640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完成高血压、糖尿病、肝炎等</w:t>
      </w:r>
      <w:r>
        <w:rPr>
          <w:rFonts w:hint="eastAsia" w:ascii="仿宋" w:hAnsi="仿宋" w:eastAsia="仿宋" w:cs="仿宋"/>
          <w:sz w:val="28"/>
          <w:szCs w:val="28"/>
          <w:lang w:val="en-US"/>
        </w:rPr>
        <w:t>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个省级疾病质控中心的成立和建设标准，已按照质控中心建设方案申请购买能力提升设备等工作。申请购买智能血糖仪</w:t>
      </w:r>
      <w:r>
        <w:rPr>
          <w:rFonts w:hint="eastAsia" w:ascii="仿宋" w:hAnsi="仿宋" w:eastAsia="仿宋" w:cs="仿宋"/>
          <w:sz w:val="28"/>
          <w:szCs w:val="28"/>
          <w:lang w:val="en-US"/>
        </w:rPr>
        <w:t>1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个及配套血糖试纸、智能血压计、血酮仪</w:t>
      </w:r>
      <w:r>
        <w:rPr>
          <w:rFonts w:hint="eastAsia" w:ascii="仿宋" w:hAnsi="仿宋" w:eastAsia="仿宋" w:cs="仿宋"/>
          <w:sz w:val="28"/>
          <w:szCs w:val="28"/>
          <w:lang w:val="en-US"/>
        </w:rPr>
        <w:t>1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个及配套试纸、身高体重计、神经筛查包、便携式全自动代谢多功能检测仪及配套试剂、神经传导检测仪、动脉血流多普勒、免散瞳眼底照相机、流式细胞仪、荧光定量</w:t>
      </w:r>
      <w:r>
        <w:rPr>
          <w:rFonts w:hint="eastAsia" w:ascii="仿宋" w:hAnsi="仿宋" w:eastAsia="仿宋" w:cs="仿宋"/>
          <w:sz w:val="28"/>
          <w:szCs w:val="28"/>
          <w:lang w:val="en-US"/>
        </w:rPr>
        <w:t>PCR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/>
        </w:rPr>
        <w:t>ABI DNA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测序仪等设备，目前所有产品均通过论证会并已签订合同，除眼底照相机要走零关税，供货商回收，暂未配送外，其余设备均已入场安装。</w:t>
      </w:r>
    </w:p>
    <w:p>
      <w:pPr>
        <w:pStyle w:val="27"/>
        <w:spacing w:line="360" w:lineRule="auto"/>
        <w:ind w:left="0" w:firstLine="618" w:firstLineChars="220"/>
        <w:rPr>
          <w:rFonts w:hint="eastAsia" w:ascii="仿宋" w:hAnsi="仿宋" w:eastAsia="仿宋" w:cs="仿宋"/>
          <w:b/>
          <w:bCs w:val="0"/>
          <w:sz w:val="28"/>
          <w:szCs w:val="28"/>
          <w:lang w:val="en-US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  <w:lang w:val="en-US"/>
        </w:rPr>
        <w:t>2.</w:t>
      </w:r>
      <w:r>
        <w:rPr>
          <w:rFonts w:hint="eastAsia" w:ascii="仿宋" w:hAnsi="仿宋" w:eastAsia="仿宋" w:cs="仿宋"/>
          <w:b/>
          <w:bCs w:val="0"/>
          <w:sz w:val="28"/>
          <w:szCs w:val="28"/>
          <w:lang w:eastAsia="zh-CN"/>
        </w:rPr>
        <w:t>培训义诊</w:t>
      </w:r>
    </w:p>
    <w:p>
      <w:pPr>
        <w:pStyle w:val="27"/>
        <w:spacing w:line="360" w:lineRule="auto"/>
        <w:ind w:left="0" w:firstLine="640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协助完成“海南省</w:t>
      </w:r>
      <w:r>
        <w:rPr>
          <w:rFonts w:hint="eastAsia" w:ascii="仿宋" w:hAnsi="仿宋" w:eastAsia="仿宋" w:cs="仿宋"/>
          <w:sz w:val="28"/>
          <w:szCs w:val="28"/>
          <w:lang w:val="en-US"/>
        </w:rPr>
        <w:t>'2+3'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健康服务包高血压、糖尿病和肝炎试点实施方案（试行）”的编制。组织省内相关专家赴琼海、东方和保亭等</w:t>
      </w:r>
      <w:r>
        <w:rPr>
          <w:rFonts w:hint="eastAsia" w:ascii="仿宋" w:hAnsi="仿宋" w:eastAsia="仿宋" w:cs="仿宋"/>
          <w:sz w:val="28"/>
          <w:szCs w:val="28"/>
          <w:lang w:val="en-US"/>
        </w:rPr>
        <w:t>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个试点市县开展高血压、糖尿病和肝炎的实施方案、防治管理规范等内容解读和义诊宣传工作，累计完成</w:t>
      </w:r>
      <w:r>
        <w:rPr>
          <w:rFonts w:hint="eastAsia" w:ascii="仿宋" w:hAnsi="仿宋" w:eastAsia="仿宋" w:cs="仿宋"/>
          <w:sz w:val="28"/>
          <w:szCs w:val="28"/>
          <w:lang w:val="en-US"/>
        </w:rPr>
        <w:t>16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场共计线下约</w:t>
      </w:r>
      <w:r>
        <w:rPr>
          <w:rFonts w:hint="eastAsia" w:ascii="仿宋" w:hAnsi="仿宋" w:eastAsia="仿宋" w:cs="仿宋"/>
          <w:sz w:val="28"/>
          <w:szCs w:val="28"/>
          <w:lang w:val="en-US"/>
        </w:rPr>
        <w:t>1250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人次、线上</w:t>
      </w:r>
      <w:r>
        <w:rPr>
          <w:rFonts w:hint="eastAsia" w:ascii="仿宋" w:hAnsi="仿宋" w:eastAsia="仿宋" w:cs="仿宋"/>
          <w:sz w:val="28"/>
          <w:szCs w:val="28"/>
          <w:lang w:val="en-US"/>
        </w:rPr>
        <w:t>11000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人次的基层一线医务人员及疾控人员的专场培训，开展高血压、糖尿病和肝炎等专题义诊</w:t>
      </w:r>
      <w:r>
        <w:rPr>
          <w:rFonts w:hint="eastAsia" w:ascii="仿宋" w:hAnsi="仿宋" w:eastAsia="仿宋" w:cs="仿宋"/>
          <w:sz w:val="28"/>
          <w:szCs w:val="28"/>
          <w:lang w:val="en-US"/>
        </w:rPr>
        <w:t>12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次，发放宣传资料</w:t>
      </w:r>
      <w:r>
        <w:rPr>
          <w:rFonts w:hint="eastAsia" w:ascii="仿宋" w:hAnsi="仿宋" w:eastAsia="仿宋" w:cs="仿宋"/>
          <w:sz w:val="28"/>
          <w:szCs w:val="28"/>
          <w:lang w:val="en-US"/>
        </w:rPr>
        <w:t>100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余份。</w:t>
      </w:r>
      <w:r>
        <w:rPr>
          <w:rFonts w:hint="eastAsia" w:ascii="仿宋" w:hAnsi="仿宋" w:eastAsia="仿宋" w:cs="仿宋"/>
          <w:sz w:val="28"/>
          <w:szCs w:val="28"/>
          <w:lang w:val="en-US"/>
        </w:rPr>
        <w:t>9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名专家前往琼海、东方、保亭等试点市县进行海南省“</w:t>
      </w:r>
      <w:r>
        <w:rPr>
          <w:rFonts w:hint="eastAsia" w:ascii="仿宋" w:hAnsi="仿宋" w:eastAsia="仿宋" w:cs="仿宋"/>
          <w:sz w:val="28"/>
          <w:szCs w:val="28"/>
          <w:lang w:val="en-US"/>
        </w:rPr>
        <w:t>2+3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”健康服务包试点工作实地蹲点指导工作，实地考察各市县医院开展工作存在的问题与赌点，提升基层医疗机构疾病诊治能力。</w:t>
      </w:r>
    </w:p>
    <w:p>
      <w:pPr>
        <w:pStyle w:val="27"/>
        <w:spacing w:line="360" w:lineRule="auto"/>
        <w:ind w:left="0" w:firstLine="621" w:firstLineChars="221"/>
        <w:rPr>
          <w:rFonts w:hint="eastAsia" w:ascii="仿宋" w:hAnsi="仿宋" w:eastAsia="仿宋" w:cs="仿宋"/>
          <w:b/>
          <w:bCs w:val="0"/>
          <w:sz w:val="28"/>
          <w:szCs w:val="28"/>
          <w:lang w:val="en-US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  <w:lang w:val="en-US"/>
        </w:rPr>
        <w:t>3.</w:t>
      </w:r>
      <w:r>
        <w:rPr>
          <w:rFonts w:hint="eastAsia" w:ascii="仿宋" w:hAnsi="仿宋" w:eastAsia="仿宋" w:cs="仿宋"/>
          <w:b/>
          <w:bCs w:val="0"/>
          <w:sz w:val="28"/>
          <w:szCs w:val="28"/>
          <w:lang w:eastAsia="zh-CN"/>
        </w:rPr>
        <w:t>科普宣教</w:t>
      </w:r>
    </w:p>
    <w:p>
      <w:pPr>
        <w:pStyle w:val="27"/>
        <w:spacing w:line="360" w:lineRule="auto"/>
        <w:ind w:left="0" w:firstLine="64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根据《海南省</w:t>
      </w:r>
      <w:r>
        <w:rPr>
          <w:rFonts w:hint="eastAsia" w:ascii="仿宋" w:hAnsi="仿宋" w:eastAsia="仿宋" w:cs="仿宋"/>
          <w:sz w:val="28"/>
          <w:szCs w:val="28"/>
          <w:lang w:val="en-US"/>
        </w:rPr>
        <w:t>2022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年“</w:t>
      </w:r>
      <w:r>
        <w:rPr>
          <w:rFonts w:hint="eastAsia" w:ascii="仿宋" w:hAnsi="仿宋" w:eastAsia="仿宋" w:cs="仿宋"/>
          <w:sz w:val="28"/>
          <w:szCs w:val="28"/>
          <w:lang w:val="en-US"/>
        </w:rPr>
        <w:t>2+3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”健康服务包宣传发动工作实施方案》要求，制定科普宣教计划，在医院微信公众号、视频号开展相关科普工作，在院内设置“</w:t>
      </w:r>
      <w:r>
        <w:rPr>
          <w:rFonts w:hint="eastAsia" w:ascii="仿宋" w:hAnsi="仿宋" w:eastAsia="仿宋" w:cs="仿宋"/>
          <w:sz w:val="28"/>
          <w:szCs w:val="28"/>
          <w:lang w:val="en-US"/>
        </w:rPr>
        <w:t>2+3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”传统媒体宣传栏，共发布相关推文</w:t>
      </w:r>
      <w:r>
        <w:rPr>
          <w:rFonts w:hint="eastAsia" w:ascii="仿宋" w:hAnsi="仿宋" w:eastAsia="仿宋" w:cs="仿宋"/>
          <w:sz w:val="28"/>
          <w:szCs w:val="28"/>
          <w:lang w:val="en-US"/>
        </w:rPr>
        <w:t>5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次，美篇</w:t>
      </w:r>
      <w:r>
        <w:rPr>
          <w:rFonts w:hint="eastAsia" w:ascii="仿宋" w:hAnsi="仿宋" w:eastAsia="仿宋" w:cs="仿宋"/>
          <w:sz w:val="28"/>
          <w:szCs w:val="28"/>
          <w:lang w:val="en-US"/>
        </w:rPr>
        <w:t>6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次，新闻报道</w:t>
      </w:r>
      <w:r>
        <w:rPr>
          <w:rFonts w:hint="eastAsia" w:ascii="仿宋" w:hAnsi="仿宋" w:eastAsia="仿宋" w:cs="仿宋"/>
          <w:sz w:val="28"/>
          <w:szCs w:val="28"/>
          <w:lang w:val="en-US"/>
        </w:rPr>
        <w:t>1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次。 </w:t>
      </w:r>
    </w:p>
    <w:p>
      <w:pPr>
        <w:pStyle w:val="16"/>
        <w:spacing w:line="360" w:lineRule="auto"/>
        <w:ind w:left="0" w:firstLine="645"/>
      </w:pPr>
      <w:r>
        <w:rPr>
          <w:rFonts w:hint="eastAsia" w:ascii="黑体" w:hAnsi="宋体" w:eastAsia="黑体" w:cs="黑体"/>
          <w:sz w:val="31"/>
          <w:szCs w:val="31"/>
          <w:lang w:eastAsia="zh-CN"/>
        </w:rPr>
        <w:t>二、项目决策及资金使用管理情况</w:t>
      </w:r>
    </w:p>
    <w:p>
      <w:pPr>
        <w:pStyle w:val="16"/>
        <w:spacing w:line="360" w:lineRule="auto"/>
        <w:ind w:left="0" w:firstLine="645"/>
        <w:rPr>
          <w:rFonts w:hint="eastAsia" w:ascii="仿宋_GB2312" w:eastAsia="仿宋_GB2312" w:cs="仿宋_GB2312"/>
          <w:sz w:val="28"/>
          <w:szCs w:val="28"/>
          <w:highlight w:val="none"/>
          <w:lang w:val="en-US"/>
        </w:rPr>
      </w:pPr>
      <w:r>
        <w:rPr>
          <w:rFonts w:hint="eastAsia" w:ascii="仿宋_GB2312" w:eastAsia="仿宋_GB2312" w:cs="仿宋_GB2312"/>
          <w:sz w:val="28"/>
          <w:szCs w:val="28"/>
          <w:highlight w:val="none"/>
          <w:lang w:eastAsia="zh-CN"/>
        </w:rPr>
        <w:t>（一）项目决策情况（包括决策过程和结果）</w:t>
      </w:r>
    </w:p>
    <w:p>
      <w:pPr>
        <w:pStyle w:val="16"/>
        <w:spacing w:line="360" w:lineRule="auto"/>
        <w:ind w:left="0" w:firstLine="645"/>
        <w:rPr>
          <w:rFonts w:hint="eastAsia" w:ascii="仿宋_GB2312" w:eastAsia="仿宋_GB2312" w:cs="仿宋_GB2312"/>
          <w:sz w:val="28"/>
          <w:szCs w:val="28"/>
          <w:lang w:val="en-US"/>
        </w:rPr>
      </w:pPr>
      <w:r>
        <w:rPr>
          <w:rFonts w:hint="eastAsia" w:ascii="仿宋_GB2312" w:eastAsia="仿宋_GB2312" w:cs="仿宋_GB2312"/>
          <w:sz w:val="28"/>
          <w:szCs w:val="28"/>
          <w:lang w:eastAsia="zh-CN"/>
        </w:rPr>
        <w:t>根据海南省卫生健康委员会关于印发《海南省</w:t>
      </w:r>
      <w:r>
        <w:rPr>
          <w:rFonts w:hint="eastAsia" w:ascii="仿宋_GB2312" w:eastAsia="仿宋_GB2312" w:cs="仿宋_GB2312"/>
          <w:sz w:val="28"/>
          <w:szCs w:val="28"/>
          <w:lang w:val="en-US"/>
        </w:rPr>
        <w:t>2022</w:t>
      </w:r>
      <w:r>
        <w:rPr>
          <w:rFonts w:hint="eastAsia" w:ascii="仿宋_GB2312" w:eastAsia="仿宋_GB2312" w:cs="仿宋_GB2312"/>
          <w:sz w:val="28"/>
          <w:szCs w:val="28"/>
          <w:lang w:eastAsia="zh-CN"/>
        </w:rPr>
        <w:t>年“</w:t>
      </w:r>
      <w:r>
        <w:rPr>
          <w:rFonts w:hint="eastAsia" w:ascii="仿宋_GB2312" w:eastAsia="仿宋_GB2312" w:cs="仿宋_GB2312"/>
          <w:sz w:val="28"/>
          <w:szCs w:val="28"/>
          <w:lang w:val="en-US"/>
        </w:rPr>
        <w:t>2+3</w:t>
      </w:r>
      <w:r>
        <w:rPr>
          <w:rFonts w:hint="eastAsia" w:ascii="仿宋_GB2312" w:eastAsia="仿宋_GB2312" w:cs="仿宋_GB2312"/>
          <w:sz w:val="28"/>
          <w:szCs w:val="28"/>
          <w:lang w:eastAsia="zh-CN"/>
        </w:rPr>
        <w:t>”健康服务包试点实施方案》的通知要求，为确保</w:t>
      </w:r>
      <w:r>
        <w:rPr>
          <w:rFonts w:hint="eastAsia" w:ascii="仿宋_GB2312" w:eastAsia="仿宋_GB2312" w:cs="仿宋_GB2312"/>
          <w:sz w:val="28"/>
          <w:szCs w:val="28"/>
          <w:lang w:val="en-US"/>
        </w:rPr>
        <w:t>2022</w:t>
      </w:r>
      <w:r>
        <w:rPr>
          <w:rFonts w:hint="eastAsia" w:ascii="仿宋_GB2312" w:eastAsia="仿宋_GB2312" w:cs="仿宋_GB2312"/>
          <w:sz w:val="28"/>
          <w:szCs w:val="28"/>
          <w:lang w:eastAsia="zh-CN"/>
        </w:rPr>
        <w:t>年度“</w:t>
      </w:r>
      <w:r>
        <w:rPr>
          <w:rFonts w:hint="eastAsia" w:ascii="仿宋_GB2312" w:eastAsia="仿宋_GB2312" w:cs="仿宋_GB2312"/>
          <w:sz w:val="28"/>
          <w:szCs w:val="28"/>
          <w:lang w:val="en-US"/>
        </w:rPr>
        <w:t>2+3</w:t>
      </w:r>
      <w:r>
        <w:rPr>
          <w:rFonts w:hint="eastAsia" w:ascii="仿宋_GB2312" w:eastAsia="仿宋_GB2312" w:cs="仿宋_GB2312"/>
          <w:sz w:val="28"/>
          <w:szCs w:val="28"/>
          <w:lang w:eastAsia="zh-CN"/>
        </w:rPr>
        <w:t>”健康服务包试点有序推进并取得预期效果，海南省人民医院成立了以分管副院长为组长，院感疾控部总牵头，高血压</w:t>
      </w:r>
      <w:r>
        <w:rPr>
          <w:rFonts w:hint="eastAsia" w:ascii="仿宋_GB2312" w:eastAsia="仿宋_GB2312" w:cs="仿宋_GB2312"/>
          <w:sz w:val="28"/>
          <w:szCs w:val="28"/>
          <w:lang w:val="en-US" w:eastAsia="zh-CN"/>
        </w:rPr>
        <w:t>病</w:t>
      </w:r>
      <w:r>
        <w:rPr>
          <w:rFonts w:hint="eastAsia" w:ascii="仿宋_GB2312" w:eastAsia="仿宋_GB2312" w:cs="仿宋_GB2312"/>
          <w:sz w:val="28"/>
          <w:szCs w:val="28"/>
          <w:lang w:eastAsia="zh-CN"/>
        </w:rPr>
        <w:t>、糖尿病、肝炎专科科室主任为成员的“</w:t>
      </w:r>
      <w:r>
        <w:rPr>
          <w:rFonts w:hint="eastAsia" w:ascii="仿宋_GB2312" w:eastAsia="仿宋_GB2312" w:cs="仿宋_GB2312"/>
          <w:sz w:val="28"/>
          <w:szCs w:val="28"/>
          <w:lang w:val="en-US"/>
        </w:rPr>
        <w:t>2+3</w:t>
      </w:r>
      <w:r>
        <w:rPr>
          <w:rFonts w:hint="eastAsia" w:ascii="仿宋_GB2312" w:eastAsia="仿宋_GB2312" w:cs="仿宋_GB2312"/>
          <w:sz w:val="28"/>
          <w:szCs w:val="28"/>
          <w:lang w:eastAsia="zh-CN"/>
        </w:rPr>
        <w:t>”工作推进专班，计划开展购置设备、开展基层能力提升培训等，预算经费</w:t>
      </w:r>
      <w:r>
        <w:rPr>
          <w:rFonts w:hint="eastAsia" w:ascii="仿宋_GB2312" w:eastAsia="仿宋_GB2312" w:cs="仿宋_GB2312"/>
          <w:sz w:val="28"/>
          <w:szCs w:val="28"/>
          <w:lang w:val="en-US"/>
        </w:rPr>
        <w:t>590</w:t>
      </w:r>
      <w:r>
        <w:rPr>
          <w:rFonts w:hint="eastAsia" w:ascii="仿宋_GB2312" w:eastAsia="仿宋_GB2312" w:cs="仿宋_GB2312"/>
          <w:sz w:val="28"/>
          <w:szCs w:val="28"/>
          <w:lang w:eastAsia="zh-CN"/>
        </w:rPr>
        <w:t>万元，财政拨付经费</w:t>
      </w:r>
      <w:r>
        <w:rPr>
          <w:rFonts w:hint="eastAsia" w:ascii="仿宋_GB2312" w:eastAsia="仿宋_GB2312" w:cs="仿宋_GB2312"/>
          <w:sz w:val="28"/>
          <w:szCs w:val="28"/>
          <w:lang w:val="en-US"/>
        </w:rPr>
        <w:t>590</w:t>
      </w:r>
      <w:r>
        <w:rPr>
          <w:rFonts w:hint="eastAsia" w:ascii="仿宋_GB2312" w:eastAsia="仿宋_GB2312" w:cs="仿宋_GB2312"/>
          <w:sz w:val="28"/>
          <w:szCs w:val="28"/>
          <w:lang w:eastAsia="zh-CN"/>
        </w:rPr>
        <w:t>万元。</w:t>
      </w:r>
    </w:p>
    <w:p>
      <w:pPr>
        <w:pStyle w:val="16"/>
        <w:spacing w:line="360" w:lineRule="auto"/>
        <w:ind w:left="0" w:firstLine="645"/>
        <w:rPr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  <w:lang w:eastAsia="zh-CN"/>
        </w:rPr>
        <w:t>（二）项目资金（包括财政资金、自筹资金等）安排落实、总投入等情况</w:t>
      </w:r>
    </w:p>
    <w:p>
      <w:pPr>
        <w:pStyle w:val="16"/>
        <w:spacing w:line="360" w:lineRule="auto"/>
        <w:ind w:left="0" w:firstLine="645"/>
        <w:rPr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  <w:lang w:eastAsia="zh-CN"/>
        </w:rPr>
        <w:t>预算情况如下：</w:t>
      </w:r>
    </w:p>
    <w:p>
      <w:pPr>
        <w:pStyle w:val="16"/>
        <w:spacing w:line="360" w:lineRule="auto"/>
        <w:ind w:left="0" w:firstLine="560" w:firstLineChars="200"/>
        <w:rPr>
          <w:sz w:val="28"/>
          <w:szCs w:val="28"/>
        </w:rPr>
      </w:pPr>
      <w:r>
        <w:rPr>
          <w:rFonts w:hint="eastAsia" w:ascii="楷体_GB2312" w:eastAsia="楷体_GB2312" w:cs="楷体_GB2312"/>
          <w:sz w:val="28"/>
          <w:szCs w:val="28"/>
          <w:lang w:eastAsia="zh-CN"/>
        </w:rPr>
        <w:t>资金总额</w:t>
      </w:r>
      <w:r>
        <w:rPr>
          <w:rFonts w:hint="eastAsia" w:ascii="楷体_GB2312" w:eastAsia="楷体_GB2312" w:cs="楷体_GB2312"/>
          <w:sz w:val="28"/>
          <w:szCs w:val="28"/>
          <w:lang w:val="en-US"/>
        </w:rPr>
        <w:t>-</w:t>
      </w:r>
      <w:r>
        <w:rPr>
          <w:rFonts w:hint="eastAsia" w:ascii="楷体_GB2312" w:eastAsia="楷体_GB2312" w:cs="楷体_GB2312"/>
          <w:sz w:val="28"/>
          <w:szCs w:val="28"/>
          <w:lang w:eastAsia="zh-CN"/>
        </w:rPr>
        <w:t>年初预算数</w:t>
      </w:r>
      <w:r>
        <w:rPr>
          <w:rFonts w:hint="eastAsia" w:ascii="楷体_GB2312" w:eastAsia="楷体_GB2312" w:cs="楷体_GB2312"/>
          <w:sz w:val="28"/>
          <w:szCs w:val="28"/>
          <w:lang w:val="en-US"/>
        </w:rPr>
        <w:t>5900000</w:t>
      </w:r>
      <w:r>
        <w:rPr>
          <w:rFonts w:hint="eastAsia" w:ascii="仿宋_GB2312" w:eastAsia="仿宋_GB2312" w:cs="仿宋_GB2312"/>
          <w:sz w:val="28"/>
          <w:szCs w:val="28"/>
          <w:lang w:eastAsia="zh-CN"/>
        </w:rPr>
        <w:t>元，</w:t>
      </w:r>
      <w:r>
        <w:rPr>
          <w:rFonts w:hint="eastAsia" w:ascii="楷体_GB2312" w:eastAsia="楷体_GB2312" w:cs="楷体_GB2312"/>
          <w:sz w:val="28"/>
          <w:szCs w:val="28"/>
          <w:lang w:eastAsia="zh-CN"/>
        </w:rPr>
        <w:t>资金总额</w:t>
      </w:r>
      <w:r>
        <w:rPr>
          <w:rFonts w:hint="eastAsia" w:ascii="楷体_GB2312" w:eastAsia="楷体_GB2312" w:cs="楷体_GB2312"/>
          <w:sz w:val="28"/>
          <w:szCs w:val="28"/>
          <w:lang w:val="en-US"/>
        </w:rPr>
        <w:t>-</w:t>
      </w:r>
      <w:r>
        <w:rPr>
          <w:rFonts w:hint="eastAsia" w:ascii="楷体_GB2312" w:eastAsia="楷体_GB2312" w:cs="楷体_GB2312"/>
          <w:sz w:val="28"/>
          <w:szCs w:val="28"/>
          <w:lang w:eastAsia="zh-CN"/>
        </w:rPr>
        <w:t>全年预算数</w:t>
      </w:r>
      <w:r>
        <w:rPr>
          <w:sz w:val="28"/>
          <w:szCs w:val="28"/>
          <w:lang w:val="en-US"/>
        </w:rPr>
        <w:t>5900000</w:t>
      </w:r>
      <w:r>
        <w:rPr>
          <w:rFonts w:hint="eastAsia" w:ascii="仿宋_GB2312" w:eastAsia="仿宋_GB2312" w:cs="仿宋_GB2312"/>
          <w:sz w:val="28"/>
          <w:szCs w:val="28"/>
          <w:lang w:eastAsia="zh-CN"/>
        </w:rPr>
        <w:t>元，</w:t>
      </w:r>
    </w:p>
    <w:p>
      <w:pPr>
        <w:pStyle w:val="16"/>
        <w:spacing w:line="360" w:lineRule="auto"/>
        <w:ind w:left="0" w:firstLine="560" w:firstLineChars="200"/>
        <w:rPr>
          <w:sz w:val="28"/>
          <w:szCs w:val="28"/>
        </w:rPr>
      </w:pPr>
      <w:r>
        <w:rPr>
          <w:rFonts w:hint="eastAsia" w:ascii="楷体_GB2312" w:eastAsia="楷体_GB2312" w:cs="楷体_GB2312"/>
          <w:sz w:val="28"/>
          <w:szCs w:val="28"/>
          <w:lang w:eastAsia="zh-CN"/>
        </w:rPr>
        <w:t>财政资金</w:t>
      </w:r>
      <w:r>
        <w:rPr>
          <w:rFonts w:hint="eastAsia" w:ascii="楷体_GB2312" w:eastAsia="楷体_GB2312" w:cs="楷体_GB2312"/>
          <w:sz w:val="28"/>
          <w:szCs w:val="28"/>
          <w:lang w:val="en-US"/>
        </w:rPr>
        <w:t>-</w:t>
      </w:r>
      <w:r>
        <w:rPr>
          <w:rFonts w:hint="eastAsia" w:ascii="楷体_GB2312" w:eastAsia="楷体_GB2312" w:cs="楷体_GB2312"/>
          <w:sz w:val="28"/>
          <w:szCs w:val="28"/>
          <w:lang w:eastAsia="zh-CN"/>
        </w:rPr>
        <w:t>年初预算数</w:t>
      </w:r>
      <w:r>
        <w:rPr>
          <w:sz w:val="28"/>
          <w:szCs w:val="28"/>
          <w:lang w:val="en-US"/>
        </w:rPr>
        <w:t>5900000</w:t>
      </w:r>
      <w:r>
        <w:rPr>
          <w:rFonts w:hint="eastAsia" w:ascii="楷体_GB2312" w:eastAsia="楷体_GB2312" w:cs="楷体_GB2312"/>
          <w:sz w:val="28"/>
          <w:szCs w:val="28"/>
          <w:lang w:eastAsia="zh-CN"/>
        </w:rPr>
        <w:t>元财政资金</w:t>
      </w:r>
      <w:r>
        <w:rPr>
          <w:rFonts w:hint="eastAsia" w:ascii="楷体_GB2312" w:eastAsia="楷体_GB2312" w:cs="楷体_GB2312"/>
          <w:sz w:val="28"/>
          <w:szCs w:val="28"/>
          <w:lang w:val="en-US"/>
        </w:rPr>
        <w:t>-</w:t>
      </w:r>
      <w:r>
        <w:rPr>
          <w:rFonts w:hint="eastAsia" w:ascii="楷体_GB2312" w:eastAsia="楷体_GB2312" w:cs="楷体_GB2312"/>
          <w:sz w:val="28"/>
          <w:szCs w:val="28"/>
          <w:lang w:eastAsia="zh-CN"/>
        </w:rPr>
        <w:t>全年预算数</w:t>
      </w:r>
      <w:r>
        <w:rPr>
          <w:sz w:val="28"/>
          <w:szCs w:val="28"/>
          <w:lang w:val="en-US"/>
        </w:rPr>
        <w:t>5900000</w:t>
      </w:r>
      <w:r>
        <w:rPr>
          <w:rFonts w:hint="eastAsia" w:ascii="仿宋_GB2312" w:eastAsia="仿宋_GB2312" w:cs="仿宋_GB2312"/>
          <w:sz w:val="28"/>
          <w:szCs w:val="28"/>
          <w:lang w:eastAsia="zh-CN"/>
        </w:rPr>
        <w:t>元，</w:t>
      </w:r>
    </w:p>
    <w:p>
      <w:pPr>
        <w:pStyle w:val="16"/>
        <w:spacing w:line="360" w:lineRule="auto"/>
        <w:ind w:left="0" w:firstLine="560" w:firstLineChars="200"/>
        <w:rPr>
          <w:sz w:val="28"/>
          <w:szCs w:val="28"/>
        </w:rPr>
      </w:pPr>
      <w:r>
        <w:rPr>
          <w:rFonts w:hint="eastAsia" w:ascii="楷体_GB2312" w:eastAsia="楷体_GB2312" w:cs="楷体_GB2312"/>
          <w:sz w:val="28"/>
          <w:szCs w:val="28"/>
          <w:lang w:eastAsia="zh-CN"/>
        </w:rPr>
        <w:t>专户</w:t>
      </w:r>
      <w:r>
        <w:rPr>
          <w:rFonts w:hint="eastAsia" w:ascii="楷体_GB2312" w:eastAsia="楷体_GB2312" w:cs="楷体_GB2312"/>
          <w:sz w:val="28"/>
          <w:szCs w:val="28"/>
          <w:lang w:val="en-US"/>
        </w:rPr>
        <w:t>-</w:t>
      </w:r>
      <w:r>
        <w:rPr>
          <w:rFonts w:hint="eastAsia" w:ascii="楷体_GB2312" w:eastAsia="楷体_GB2312" w:cs="楷体_GB2312"/>
          <w:sz w:val="28"/>
          <w:szCs w:val="28"/>
          <w:lang w:eastAsia="zh-CN"/>
        </w:rPr>
        <w:t>年初预算数</w:t>
      </w:r>
      <w:r>
        <w:rPr>
          <w:rFonts w:hint="eastAsia" w:ascii="楷体_GB2312" w:eastAsia="楷体_GB2312" w:cs="楷体_GB2312"/>
          <w:sz w:val="28"/>
          <w:szCs w:val="28"/>
          <w:lang w:val="en-US"/>
        </w:rPr>
        <w:t>0</w:t>
      </w:r>
      <w:r>
        <w:rPr>
          <w:rFonts w:hint="eastAsia" w:ascii="仿宋_GB2312" w:eastAsia="仿宋_GB2312" w:cs="仿宋_GB2312"/>
          <w:sz w:val="28"/>
          <w:szCs w:val="28"/>
          <w:lang w:eastAsia="zh-CN"/>
        </w:rPr>
        <w:t>元，</w:t>
      </w:r>
      <w:r>
        <w:rPr>
          <w:rFonts w:hint="eastAsia" w:ascii="楷体_GB2312" w:eastAsia="楷体_GB2312" w:cs="楷体_GB2312"/>
          <w:sz w:val="28"/>
          <w:szCs w:val="28"/>
          <w:lang w:eastAsia="zh-CN"/>
        </w:rPr>
        <w:t>专户全年预算数</w:t>
      </w:r>
      <w:r>
        <w:rPr>
          <w:rFonts w:hint="eastAsia" w:ascii="楷体_GB2312" w:eastAsia="楷体_GB2312" w:cs="楷体_GB2312"/>
          <w:sz w:val="28"/>
          <w:szCs w:val="28"/>
          <w:lang w:val="en-US"/>
        </w:rPr>
        <w:t>0</w:t>
      </w:r>
      <w:r>
        <w:rPr>
          <w:rFonts w:hint="eastAsia" w:ascii="楷体_GB2312" w:eastAsia="楷体_GB2312" w:cs="楷体_GB2312"/>
          <w:sz w:val="28"/>
          <w:szCs w:val="28"/>
          <w:lang w:eastAsia="zh-CN"/>
        </w:rPr>
        <w:t>元，</w:t>
      </w:r>
    </w:p>
    <w:p>
      <w:pPr>
        <w:pStyle w:val="16"/>
        <w:spacing w:line="360" w:lineRule="auto"/>
        <w:ind w:left="0" w:firstLine="560" w:firstLineChars="200"/>
        <w:rPr>
          <w:sz w:val="28"/>
          <w:szCs w:val="28"/>
        </w:rPr>
      </w:pPr>
      <w:r>
        <w:rPr>
          <w:rFonts w:hint="eastAsia" w:ascii="楷体_GB2312" w:eastAsia="楷体_GB2312" w:cs="楷体_GB2312"/>
          <w:sz w:val="28"/>
          <w:szCs w:val="28"/>
          <w:lang w:eastAsia="zh-CN"/>
        </w:rPr>
        <w:t>单位年初预算数</w:t>
      </w:r>
      <w:r>
        <w:rPr>
          <w:rFonts w:hint="eastAsia" w:ascii="楷体_GB2312" w:eastAsia="楷体_GB2312" w:cs="楷体_GB2312"/>
          <w:sz w:val="28"/>
          <w:szCs w:val="28"/>
          <w:lang w:val="en-US"/>
        </w:rPr>
        <w:t>0</w:t>
      </w:r>
      <w:r>
        <w:rPr>
          <w:rFonts w:hint="eastAsia" w:ascii="楷体_GB2312" w:eastAsia="楷体_GB2312" w:cs="楷体_GB2312"/>
          <w:sz w:val="28"/>
          <w:szCs w:val="28"/>
          <w:lang w:eastAsia="zh-CN"/>
        </w:rPr>
        <w:t>元，单位全年预算数</w:t>
      </w:r>
      <w:r>
        <w:rPr>
          <w:rFonts w:hint="eastAsia" w:ascii="楷体_GB2312" w:eastAsia="楷体_GB2312" w:cs="楷体_GB2312"/>
          <w:sz w:val="28"/>
          <w:szCs w:val="28"/>
          <w:lang w:val="en-US"/>
        </w:rPr>
        <w:t>0</w:t>
      </w:r>
      <w:r>
        <w:rPr>
          <w:rFonts w:hint="eastAsia" w:ascii="仿宋_GB2312" w:eastAsia="仿宋_GB2312" w:cs="仿宋_GB2312"/>
          <w:sz w:val="28"/>
          <w:szCs w:val="28"/>
          <w:lang w:eastAsia="zh-CN"/>
        </w:rPr>
        <w:t>元。</w:t>
      </w:r>
    </w:p>
    <w:p>
      <w:pPr>
        <w:pStyle w:val="16"/>
        <w:spacing w:line="360" w:lineRule="auto"/>
        <w:ind w:left="0" w:firstLine="645"/>
        <w:rPr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  <w:lang w:eastAsia="zh-CN"/>
        </w:rPr>
        <w:t>（三）项目资金（主要是指财政资金）实际使用情况</w:t>
      </w:r>
    </w:p>
    <w:p>
      <w:pPr>
        <w:pStyle w:val="16"/>
        <w:spacing w:line="360" w:lineRule="auto"/>
        <w:ind w:left="0" w:firstLine="645"/>
        <w:rPr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  <w:lang w:eastAsia="zh-CN"/>
        </w:rPr>
        <w:t>资金执行情况如下：</w:t>
      </w:r>
    </w:p>
    <w:p>
      <w:pPr>
        <w:pStyle w:val="16"/>
        <w:spacing w:line="360" w:lineRule="auto"/>
        <w:ind w:left="0" w:firstLine="560" w:firstLineChars="200"/>
        <w:rPr>
          <w:sz w:val="28"/>
          <w:szCs w:val="28"/>
        </w:rPr>
      </w:pPr>
      <w:r>
        <w:rPr>
          <w:rFonts w:hint="eastAsia" w:ascii="楷体_GB2312" w:eastAsia="楷体_GB2312" w:cs="楷体_GB2312"/>
          <w:sz w:val="28"/>
          <w:szCs w:val="28"/>
          <w:lang w:eastAsia="zh-CN"/>
        </w:rPr>
        <w:t>资金总额</w:t>
      </w:r>
      <w:r>
        <w:rPr>
          <w:rFonts w:hint="eastAsia" w:ascii="楷体_GB2312" w:eastAsia="楷体_GB2312" w:cs="楷体_GB2312"/>
          <w:sz w:val="28"/>
          <w:szCs w:val="28"/>
          <w:lang w:val="en-US"/>
        </w:rPr>
        <w:t>-</w:t>
      </w:r>
      <w:r>
        <w:rPr>
          <w:rFonts w:hint="eastAsia" w:ascii="楷体_GB2312" w:eastAsia="楷体_GB2312" w:cs="楷体_GB2312"/>
          <w:sz w:val="28"/>
          <w:szCs w:val="28"/>
          <w:lang w:eastAsia="zh-CN"/>
        </w:rPr>
        <w:t>全年执行数</w:t>
      </w:r>
      <w:r>
        <w:rPr>
          <w:rFonts w:hint="eastAsia" w:ascii="楷体_GB2312" w:eastAsia="楷体_GB2312" w:cs="楷体_GB2312"/>
          <w:sz w:val="28"/>
          <w:szCs w:val="28"/>
          <w:lang w:val="en-US"/>
        </w:rPr>
        <w:t>3669644</w:t>
      </w:r>
      <w:r>
        <w:rPr>
          <w:rFonts w:hint="eastAsia" w:ascii="楷体_GB2312" w:eastAsia="楷体_GB2312" w:cs="楷体_GB2312"/>
          <w:sz w:val="28"/>
          <w:szCs w:val="28"/>
          <w:lang w:eastAsia="zh-CN"/>
        </w:rPr>
        <w:t>元，资金总额</w:t>
      </w:r>
      <w:r>
        <w:rPr>
          <w:rFonts w:hint="eastAsia" w:ascii="楷体_GB2312" w:eastAsia="楷体_GB2312" w:cs="楷体_GB2312"/>
          <w:sz w:val="28"/>
          <w:szCs w:val="28"/>
          <w:lang w:val="en-US"/>
        </w:rPr>
        <w:t>-</w:t>
      </w:r>
      <w:r>
        <w:rPr>
          <w:rFonts w:hint="eastAsia" w:ascii="楷体_GB2312" w:eastAsia="楷体_GB2312" w:cs="楷体_GB2312"/>
          <w:sz w:val="28"/>
          <w:szCs w:val="28"/>
          <w:lang w:eastAsia="zh-CN"/>
        </w:rPr>
        <w:t>执行率</w:t>
      </w:r>
      <w:r>
        <w:rPr>
          <w:sz w:val="28"/>
          <w:szCs w:val="28"/>
          <w:lang w:val="en-US"/>
        </w:rPr>
        <w:t>62.20%</w:t>
      </w:r>
      <w:r>
        <w:rPr>
          <w:rFonts w:hint="eastAsia" w:ascii="楷体_GB2312" w:eastAsia="楷体_GB2312" w:cs="楷体_GB2312"/>
          <w:sz w:val="28"/>
          <w:szCs w:val="28"/>
          <w:lang w:eastAsia="zh-CN"/>
        </w:rPr>
        <w:t>元</w:t>
      </w:r>
    </w:p>
    <w:p>
      <w:pPr>
        <w:pStyle w:val="16"/>
        <w:spacing w:line="360" w:lineRule="auto"/>
        <w:ind w:left="0" w:firstLine="165"/>
        <w:rPr>
          <w:sz w:val="28"/>
          <w:szCs w:val="28"/>
        </w:rPr>
      </w:pPr>
      <w:r>
        <w:rPr>
          <w:rFonts w:hint="eastAsia" w:ascii="楷体_GB2312" w:eastAsia="楷体_GB2312" w:cs="楷体_GB2312"/>
          <w:sz w:val="28"/>
          <w:szCs w:val="28"/>
          <w:lang w:eastAsia="zh-CN"/>
        </w:rPr>
        <w:t>其中：</w:t>
      </w:r>
    </w:p>
    <w:p>
      <w:pPr>
        <w:pStyle w:val="16"/>
        <w:spacing w:line="360" w:lineRule="auto"/>
        <w:ind w:left="0" w:firstLine="560" w:firstLineChars="200"/>
        <w:rPr>
          <w:sz w:val="28"/>
          <w:szCs w:val="28"/>
        </w:rPr>
      </w:pPr>
      <w:r>
        <w:rPr>
          <w:rFonts w:hint="eastAsia" w:ascii="楷体_GB2312" w:eastAsia="楷体_GB2312" w:cs="楷体_GB2312"/>
          <w:sz w:val="28"/>
          <w:szCs w:val="28"/>
          <w:lang w:eastAsia="zh-CN"/>
        </w:rPr>
        <w:t>财政资金</w:t>
      </w:r>
      <w:r>
        <w:rPr>
          <w:rFonts w:hint="eastAsia" w:ascii="楷体_GB2312" w:eastAsia="楷体_GB2312" w:cs="楷体_GB2312"/>
          <w:sz w:val="28"/>
          <w:szCs w:val="28"/>
          <w:lang w:val="en-US"/>
        </w:rPr>
        <w:t>-</w:t>
      </w:r>
      <w:r>
        <w:rPr>
          <w:rFonts w:hint="eastAsia" w:ascii="楷体_GB2312" w:eastAsia="楷体_GB2312" w:cs="楷体_GB2312"/>
          <w:sz w:val="28"/>
          <w:szCs w:val="28"/>
          <w:lang w:eastAsia="zh-CN"/>
        </w:rPr>
        <w:t>全年执行数</w:t>
      </w:r>
      <w:r>
        <w:rPr>
          <w:rFonts w:hint="eastAsia" w:ascii="楷体_GB2312" w:eastAsia="楷体_GB2312" w:cs="楷体_GB2312"/>
          <w:sz w:val="28"/>
          <w:szCs w:val="28"/>
          <w:lang w:val="en-US"/>
        </w:rPr>
        <w:t>3669644</w:t>
      </w:r>
      <w:r>
        <w:rPr>
          <w:rFonts w:hint="eastAsia" w:ascii="楷体_GB2312" w:eastAsia="楷体_GB2312" w:cs="楷体_GB2312"/>
          <w:sz w:val="28"/>
          <w:szCs w:val="28"/>
          <w:lang w:eastAsia="zh-CN"/>
        </w:rPr>
        <w:t>元，财政资金</w:t>
      </w:r>
      <w:r>
        <w:rPr>
          <w:rFonts w:hint="eastAsia" w:ascii="楷体_GB2312" w:eastAsia="楷体_GB2312" w:cs="楷体_GB2312"/>
          <w:sz w:val="28"/>
          <w:szCs w:val="28"/>
          <w:lang w:val="en-US"/>
        </w:rPr>
        <w:t>-</w:t>
      </w:r>
      <w:r>
        <w:rPr>
          <w:rFonts w:hint="eastAsia" w:ascii="楷体_GB2312" w:eastAsia="楷体_GB2312" w:cs="楷体_GB2312"/>
          <w:sz w:val="28"/>
          <w:szCs w:val="28"/>
          <w:lang w:eastAsia="zh-CN"/>
        </w:rPr>
        <w:t>执行率</w:t>
      </w:r>
      <w:r>
        <w:rPr>
          <w:sz w:val="28"/>
          <w:szCs w:val="28"/>
          <w:lang w:val="en-US"/>
        </w:rPr>
        <w:t>62.20%</w:t>
      </w:r>
    </w:p>
    <w:p>
      <w:pPr>
        <w:pStyle w:val="16"/>
        <w:spacing w:line="360" w:lineRule="auto"/>
        <w:ind w:left="0" w:firstLine="560" w:firstLineChars="200"/>
        <w:rPr>
          <w:sz w:val="28"/>
          <w:szCs w:val="28"/>
        </w:rPr>
      </w:pPr>
      <w:r>
        <w:rPr>
          <w:rFonts w:hint="eastAsia" w:ascii="楷体_GB2312" w:eastAsia="楷体_GB2312" w:cs="楷体_GB2312"/>
          <w:sz w:val="28"/>
          <w:szCs w:val="28"/>
          <w:lang w:eastAsia="zh-CN"/>
        </w:rPr>
        <w:t>专户全年执行数</w:t>
      </w:r>
      <w:r>
        <w:rPr>
          <w:rFonts w:hint="eastAsia" w:ascii="楷体_GB2312" w:eastAsia="楷体_GB2312" w:cs="楷体_GB2312"/>
          <w:sz w:val="28"/>
          <w:szCs w:val="28"/>
          <w:lang w:val="en-US"/>
        </w:rPr>
        <w:t>0</w:t>
      </w:r>
      <w:r>
        <w:rPr>
          <w:rFonts w:hint="eastAsia" w:ascii="楷体_GB2312" w:eastAsia="楷体_GB2312" w:cs="楷体_GB2312"/>
          <w:sz w:val="28"/>
          <w:szCs w:val="28"/>
          <w:lang w:eastAsia="zh-CN"/>
        </w:rPr>
        <w:t>元，专户</w:t>
      </w:r>
      <w:r>
        <w:rPr>
          <w:rFonts w:hint="eastAsia" w:ascii="楷体_GB2312" w:eastAsia="楷体_GB2312" w:cs="楷体_GB2312"/>
          <w:sz w:val="28"/>
          <w:szCs w:val="28"/>
          <w:lang w:val="en-US"/>
        </w:rPr>
        <w:t>-</w:t>
      </w:r>
      <w:r>
        <w:rPr>
          <w:rFonts w:hint="eastAsia" w:ascii="楷体_GB2312" w:eastAsia="楷体_GB2312" w:cs="楷体_GB2312"/>
          <w:sz w:val="28"/>
          <w:szCs w:val="28"/>
          <w:lang w:eastAsia="zh-CN"/>
        </w:rPr>
        <w:t>执行率</w:t>
      </w:r>
      <w:r>
        <w:rPr>
          <w:sz w:val="28"/>
          <w:szCs w:val="28"/>
          <w:lang w:val="en-US"/>
        </w:rPr>
        <w:t>0</w:t>
      </w:r>
    </w:p>
    <w:p>
      <w:pPr>
        <w:pStyle w:val="16"/>
        <w:spacing w:line="360" w:lineRule="auto"/>
        <w:ind w:left="0" w:firstLine="560" w:firstLineChars="200"/>
        <w:rPr>
          <w:sz w:val="28"/>
          <w:szCs w:val="28"/>
        </w:rPr>
      </w:pPr>
      <w:r>
        <w:rPr>
          <w:rFonts w:hint="eastAsia" w:ascii="楷体_GB2312" w:eastAsia="楷体_GB2312" w:cs="楷体_GB2312"/>
          <w:sz w:val="28"/>
          <w:szCs w:val="28"/>
          <w:lang w:eastAsia="zh-CN"/>
        </w:rPr>
        <w:t>单位全年执行数</w:t>
      </w:r>
      <w:r>
        <w:rPr>
          <w:rFonts w:hint="eastAsia" w:ascii="楷体_GB2312" w:eastAsia="楷体_GB2312" w:cs="楷体_GB2312"/>
          <w:sz w:val="28"/>
          <w:szCs w:val="28"/>
          <w:lang w:val="en-US"/>
        </w:rPr>
        <w:t>0</w:t>
      </w:r>
      <w:r>
        <w:rPr>
          <w:rFonts w:hint="eastAsia" w:ascii="楷体_GB2312" w:eastAsia="楷体_GB2312" w:cs="楷体_GB2312"/>
          <w:sz w:val="28"/>
          <w:szCs w:val="28"/>
          <w:lang w:eastAsia="zh-CN"/>
        </w:rPr>
        <w:t>元，单位全年执行率</w:t>
      </w:r>
      <w:r>
        <w:rPr>
          <w:sz w:val="28"/>
          <w:szCs w:val="28"/>
          <w:lang w:val="en-US"/>
        </w:rPr>
        <w:t>0.00%</w:t>
      </w:r>
    </w:p>
    <w:p>
      <w:pPr>
        <w:pStyle w:val="16"/>
        <w:numPr>
          <w:ilvl w:val="0"/>
          <w:numId w:val="1"/>
        </w:numPr>
        <w:spacing w:line="360" w:lineRule="auto"/>
        <w:ind w:left="0" w:firstLine="645"/>
        <w:rPr>
          <w:rFonts w:hint="default" w:ascii="仿宋_GB2312" w:hAnsi="宋体" w:eastAsia="仿宋_GB2312" w:cs="仿宋_GB2312"/>
          <w:kern w:val="0"/>
          <w:sz w:val="28"/>
          <w:szCs w:val="28"/>
          <w:lang w:val="en-US" w:eastAsia="zh-CN"/>
        </w:rPr>
      </w:pPr>
      <w:r>
        <w:rPr>
          <w:rFonts w:hint="eastAsia" w:ascii="仿宋_GB2312" w:eastAsia="仿宋_GB2312" w:cs="仿宋_GB2312"/>
          <w:sz w:val="28"/>
          <w:szCs w:val="28"/>
          <w:lang w:eastAsia="zh-CN"/>
        </w:rPr>
        <w:t>项目资金管理情况（包括管理制度、办法的制订及执行情况）</w:t>
      </w:r>
    </w:p>
    <w:p>
      <w:pPr>
        <w:pStyle w:val="16"/>
        <w:numPr>
          <w:numId w:val="0"/>
        </w:numPr>
        <w:spacing w:line="360" w:lineRule="auto"/>
        <w:ind w:right="0" w:rightChars="0" w:firstLine="560" w:firstLineChars="200"/>
        <w:rPr>
          <w:rFonts w:hint="default" w:ascii="仿宋_GB2312" w:hAnsi="宋体" w:eastAsia="仿宋_GB2312" w:cs="仿宋_GB2312"/>
          <w:kern w:val="0"/>
          <w:sz w:val="28"/>
          <w:szCs w:val="28"/>
          <w:lang w:val="en-US" w:eastAsia="zh-CN"/>
        </w:rPr>
      </w:pPr>
      <w:r>
        <w:rPr>
          <w:rFonts w:hint="default" w:ascii="仿宋_GB2312" w:hAnsi="宋体" w:eastAsia="仿宋_GB2312" w:cs="仿宋_GB2312"/>
          <w:kern w:val="0"/>
          <w:sz w:val="28"/>
          <w:szCs w:val="28"/>
          <w:lang w:val="en-US" w:eastAsia="zh-CN"/>
        </w:rPr>
        <w:t>根据项目推进情况，做好用款计划，确保预算支出及时、均衡。项目资金管理严格按照院《财务会计内部控制制度》、《经费审批及报销制度》等相关文件规定执行，经费报销逐级审批，大额资金支付经院长办公会、党委会审议。建立专项资金管理制度和会计核算制度，强化预算约束，确保资金专款专用、不挪用、不占用。按月通报专项资金执行情况，切实提高资金使用效益。</w:t>
      </w:r>
    </w:p>
    <w:p>
      <w:pPr>
        <w:pStyle w:val="16"/>
        <w:spacing w:line="360" w:lineRule="auto"/>
        <w:ind w:firstLine="620" w:firstLineChars="200"/>
        <w:rPr>
          <w:highlight w:val="none"/>
          <w:lang w:val="en-US"/>
        </w:rPr>
      </w:pPr>
      <w:r>
        <w:rPr>
          <w:rFonts w:hint="eastAsia" w:ascii="黑体" w:hAnsi="宋体" w:eastAsia="黑体" w:cs="黑体"/>
          <w:sz w:val="31"/>
          <w:szCs w:val="31"/>
          <w:highlight w:val="none"/>
          <w:lang w:eastAsia="zh-CN"/>
        </w:rPr>
        <w:t>三、项目组织实施情况</w:t>
      </w:r>
    </w:p>
    <w:p>
      <w:pPr>
        <w:pStyle w:val="16"/>
        <w:spacing w:line="360" w:lineRule="auto"/>
        <w:ind w:left="0" w:firstLine="645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sz w:val="31"/>
          <w:szCs w:val="31"/>
          <w:lang w:eastAsia="zh-CN"/>
        </w:rPr>
        <w:t>（一）项目组织情况（包括项目招投标情况、调整情况、完成验收等）</w:t>
      </w:r>
    </w:p>
    <w:p>
      <w:pPr>
        <w:pStyle w:val="16"/>
        <w:spacing w:line="360" w:lineRule="auto"/>
        <w:ind w:left="0" w:firstLine="645"/>
        <w:rPr>
          <w:rFonts w:hint="default" w:ascii="仿宋_GB2312" w:hAnsi="宋体" w:eastAsia="仿宋_GB2312" w:cs="仿宋_GB2312"/>
          <w:kern w:val="0"/>
          <w:sz w:val="31"/>
          <w:szCs w:val="31"/>
        </w:rPr>
      </w:pPr>
      <w:r>
        <w:rPr>
          <w:rFonts w:hint="default" w:ascii="仿宋_GB2312" w:hAnsi="宋体" w:eastAsia="仿宋_GB2312" w:cs="仿宋_GB2312"/>
          <w:kern w:val="0"/>
          <w:sz w:val="28"/>
          <w:szCs w:val="28"/>
          <w:lang w:val="en-US" w:eastAsia="zh-CN"/>
        </w:rPr>
        <w:t>项目资金中，设备购置预算320万元。我院于2022年9月发布采购需求，于2022年10月完成招标，总金额298.85万元，节约经费21.15万元。项目完成过程中，严格按照国家相关规定执行。医疗设备购置严格遵照政府招标采购相关制度，属于省政府集中采购目录及标准的设备，按规定集中到政府采购中心采购或实行委托代理采购。目前设备清单中，除眼底照相机需走零关税，暂未配送外，其余设备均已入场安装。</w:t>
      </w:r>
    </w:p>
    <w:p>
      <w:pPr>
        <w:pStyle w:val="16"/>
        <w:numPr>
          <w:ilvl w:val="0"/>
          <w:numId w:val="2"/>
        </w:numPr>
        <w:spacing w:line="360" w:lineRule="auto"/>
        <w:ind w:left="0" w:firstLine="645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sz w:val="31"/>
          <w:szCs w:val="31"/>
          <w:lang w:eastAsia="zh-CN"/>
        </w:rPr>
        <w:t>项目管理情况（包括项目管理制度建设、日常检查监督等情况）</w:t>
      </w:r>
    </w:p>
    <w:p>
      <w:pPr>
        <w:pStyle w:val="16"/>
        <w:numPr>
          <w:numId w:val="0"/>
        </w:numPr>
        <w:spacing w:line="360" w:lineRule="auto"/>
        <w:ind w:right="0" w:rightChars="0" w:firstLine="620" w:firstLineChars="200"/>
        <w:rPr>
          <w:rFonts w:hint="eastAsia" w:ascii="仿宋" w:hAnsi="仿宋" w:eastAsia="仿宋" w:cs="仿宋"/>
          <w:sz w:val="31"/>
          <w:szCs w:val="31"/>
          <w:lang w:val="en-US"/>
        </w:rPr>
      </w:pPr>
      <w:r>
        <w:rPr>
          <w:rFonts w:hint="eastAsia" w:ascii="仿宋" w:hAnsi="仿宋" w:eastAsia="仿宋" w:cs="仿宋"/>
          <w:sz w:val="31"/>
          <w:szCs w:val="31"/>
          <w:lang w:eastAsia="zh-CN"/>
        </w:rPr>
        <w:t>海南省人民医院成立了以分管副院长为组长，院感疾控部总牵头，高血压、糖尿病、肝炎专科科室主任为成员的“</w:t>
      </w:r>
      <w:r>
        <w:rPr>
          <w:rFonts w:hint="eastAsia" w:ascii="仿宋" w:hAnsi="仿宋" w:eastAsia="仿宋" w:cs="仿宋"/>
          <w:sz w:val="31"/>
          <w:szCs w:val="31"/>
          <w:lang w:val="en-US"/>
        </w:rPr>
        <w:t>2+3</w:t>
      </w:r>
      <w:r>
        <w:rPr>
          <w:rFonts w:hint="eastAsia" w:ascii="仿宋" w:hAnsi="仿宋" w:eastAsia="仿宋" w:cs="仿宋"/>
          <w:sz w:val="31"/>
          <w:szCs w:val="31"/>
          <w:lang w:eastAsia="zh-CN"/>
        </w:rPr>
        <w:t>”工作推进专班，共召开专题会议</w:t>
      </w:r>
      <w:r>
        <w:rPr>
          <w:rFonts w:hint="eastAsia" w:ascii="仿宋" w:hAnsi="仿宋" w:eastAsia="仿宋" w:cs="仿宋"/>
          <w:sz w:val="31"/>
          <w:szCs w:val="31"/>
          <w:lang w:val="en-US"/>
        </w:rPr>
        <w:t>6</w:t>
      </w:r>
      <w:r>
        <w:rPr>
          <w:rFonts w:hint="eastAsia" w:ascii="仿宋" w:hAnsi="仿宋" w:eastAsia="仿宋" w:cs="仿宋"/>
          <w:sz w:val="31"/>
          <w:szCs w:val="31"/>
          <w:lang w:eastAsia="zh-CN"/>
        </w:rPr>
        <w:t>次，统筹推进“</w:t>
      </w:r>
      <w:r>
        <w:rPr>
          <w:rFonts w:hint="eastAsia" w:ascii="仿宋" w:hAnsi="仿宋" w:eastAsia="仿宋" w:cs="仿宋"/>
          <w:sz w:val="31"/>
          <w:szCs w:val="31"/>
          <w:lang w:val="en-US"/>
        </w:rPr>
        <w:t>2+3</w:t>
      </w:r>
      <w:r>
        <w:rPr>
          <w:rFonts w:hint="eastAsia" w:ascii="仿宋" w:hAnsi="仿宋" w:eastAsia="仿宋" w:cs="仿宋"/>
          <w:sz w:val="31"/>
          <w:szCs w:val="31"/>
          <w:lang w:eastAsia="zh-CN"/>
        </w:rPr>
        <w:t>”健康服务包工作。按月度总结工作开展情况，按季度开展工作考评，针对存在问题提出改进措施，推动项目开展。</w:t>
      </w:r>
    </w:p>
    <w:p>
      <w:pPr>
        <w:pStyle w:val="16"/>
        <w:spacing w:line="360" w:lineRule="auto"/>
        <w:ind w:left="0" w:firstLine="645"/>
        <w:rPr>
          <w:highlight w:val="none"/>
          <w:lang w:val="en-US"/>
        </w:rPr>
      </w:pPr>
      <w:r>
        <w:rPr>
          <w:rFonts w:hint="eastAsia" w:ascii="黑体" w:hAnsi="宋体" w:eastAsia="黑体" w:cs="黑体"/>
          <w:sz w:val="31"/>
          <w:szCs w:val="31"/>
          <w:highlight w:val="none"/>
          <w:lang w:eastAsia="zh-CN"/>
        </w:rPr>
        <w:t>四、项目绩效情况</w:t>
      </w:r>
    </w:p>
    <w:p>
      <w:pPr>
        <w:pStyle w:val="16"/>
        <w:spacing w:line="360" w:lineRule="auto"/>
        <w:ind w:left="0" w:firstLine="645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（一）项目绩效目标完成情况。将项目实际完成情况与申报的绩效目标对比，从项目的经济性、效率性、有效性和可持续性等方面对项目绩效进行量化、具体分析。</w:t>
      </w:r>
    </w:p>
    <w:p>
      <w:pPr>
        <w:pStyle w:val="16"/>
        <w:spacing w:line="360" w:lineRule="auto"/>
        <w:ind w:left="0" w:firstLine="645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海南省人民医院作为“</w:t>
      </w:r>
      <w:r>
        <w:rPr>
          <w:rFonts w:hint="eastAsia" w:ascii="仿宋" w:hAnsi="仿宋" w:eastAsia="仿宋" w:cs="仿宋"/>
          <w:sz w:val="28"/>
          <w:szCs w:val="28"/>
          <w:lang w:val="en-US"/>
        </w:rPr>
        <w:t>2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（高血压、糖尿病）＋</w:t>
      </w:r>
      <w:r>
        <w:rPr>
          <w:rFonts w:hint="eastAsia" w:ascii="仿宋" w:hAnsi="仿宋" w:eastAsia="仿宋" w:cs="仿宋"/>
          <w:sz w:val="28"/>
          <w:szCs w:val="28"/>
          <w:lang w:val="en-US"/>
        </w:rPr>
        <w:t>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（严重精神障碍、结核病、肝炎）”疾病中高血压、糖尿病、肝炎防治工作小组，开展肝炎防治人员培训</w:t>
      </w:r>
      <w:r>
        <w:rPr>
          <w:rFonts w:hint="eastAsia" w:ascii="仿宋" w:hAnsi="仿宋" w:eastAsia="仿宋" w:cs="仿宋"/>
          <w:sz w:val="28"/>
          <w:szCs w:val="28"/>
          <w:lang w:val="en-US"/>
        </w:rPr>
        <w:t>8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次，高血压质控中心下基层督导</w:t>
      </w:r>
      <w:r>
        <w:rPr>
          <w:rFonts w:hint="eastAsia" w:ascii="仿宋" w:hAnsi="仿宋" w:eastAsia="仿宋" w:cs="仿宋"/>
          <w:sz w:val="28"/>
          <w:szCs w:val="28"/>
          <w:lang w:val="en-US"/>
        </w:rPr>
        <w:t>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次，建成</w:t>
      </w:r>
      <w:r>
        <w:rPr>
          <w:rFonts w:hint="eastAsia" w:ascii="仿宋" w:hAnsi="仿宋" w:eastAsia="仿宋" w:cs="仿宋"/>
          <w:sz w:val="28"/>
          <w:szCs w:val="28"/>
          <w:lang w:val="en-US"/>
        </w:rPr>
        <w:t>1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个糖尿病标准化防控监测点，已完成项目支出绩效要求。</w:t>
      </w:r>
    </w:p>
    <w:p>
      <w:pPr>
        <w:pStyle w:val="16"/>
        <w:spacing w:line="360" w:lineRule="auto"/>
        <w:ind w:left="0" w:firstLine="645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（二）项目绩效目标未完成情况及原因分析</w:t>
      </w:r>
    </w:p>
    <w:p>
      <w:pPr>
        <w:pStyle w:val="16"/>
        <w:spacing w:line="360" w:lineRule="auto"/>
        <w:ind w:left="0" w:firstLine="645"/>
        <w:rPr>
          <w:highlight w:val="none"/>
          <w:lang w:val="en-US"/>
        </w:rPr>
      </w:pPr>
      <w:r>
        <w:rPr>
          <w:rFonts w:hint="eastAsia" w:ascii="黑体" w:hAnsi="宋体" w:eastAsia="黑体" w:cs="黑体"/>
          <w:sz w:val="31"/>
          <w:szCs w:val="31"/>
          <w:highlight w:val="none"/>
          <w:lang w:eastAsia="zh-CN"/>
        </w:rPr>
        <w:t>五、其他需要说明的问题</w:t>
      </w:r>
    </w:p>
    <w:p>
      <w:pPr>
        <w:pStyle w:val="16"/>
        <w:spacing w:line="360" w:lineRule="auto"/>
        <w:ind w:left="0" w:firstLine="645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（一）后续工作计划</w:t>
      </w:r>
    </w:p>
    <w:p>
      <w:pPr>
        <w:spacing w:line="360" w:lineRule="auto"/>
        <w:ind w:left="0" w:firstLine="560" w:firstLineChars="200"/>
        <w:jc w:val="both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val="en-US"/>
        </w:rPr>
        <w:t>1.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调整医院“</w:t>
      </w:r>
      <w:r>
        <w:rPr>
          <w:rFonts w:hint="eastAsia" w:ascii="仿宋" w:hAnsi="仿宋" w:eastAsia="仿宋" w:cs="仿宋"/>
          <w:sz w:val="28"/>
          <w:szCs w:val="28"/>
          <w:lang w:val="en-US"/>
        </w:rPr>
        <w:t>2+3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”工作专班，明确医院“</w:t>
      </w:r>
      <w:r>
        <w:rPr>
          <w:rFonts w:hint="eastAsia" w:ascii="仿宋" w:hAnsi="仿宋" w:eastAsia="仿宋" w:cs="仿宋"/>
          <w:sz w:val="28"/>
          <w:szCs w:val="28"/>
          <w:lang w:val="en-US"/>
        </w:rPr>
        <w:t>2+3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”工作专班办公室日常工作；组织拟制订高血压、糖尿病、肝炎健康服务包实施方案，组织开展相关研究；院感疾控部牵头，跟踪督促各专病小组落实工作部署，适时向推进小组汇报推进情况和重大问题；协调解决工作推进中的一般问题；院感疾控部、财务部协调医院各有关部门落实政策和资金等保障工作，推进专班经费按进度规范使用；承担省市推进小组交办的其他工作。</w:t>
      </w:r>
    </w:p>
    <w:p>
      <w:pPr>
        <w:pStyle w:val="27"/>
        <w:spacing w:line="360" w:lineRule="auto"/>
        <w:ind w:left="0" w:firstLine="640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val="en-US"/>
        </w:rPr>
        <w:t>2.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细化全省工作指导。制定</w:t>
      </w:r>
      <w:r>
        <w:rPr>
          <w:rFonts w:hint="eastAsia" w:ascii="仿宋" w:hAnsi="仿宋" w:eastAsia="仿宋" w:cs="仿宋"/>
          <w:sz w:val="28"/>
          <w:szCs w:val="28"/>
          <w:lang w:val="en-US"/>
        </w:rPr>
        <w:t>2023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年全省</w:t>
      </w:r>
      <w:r>
        <w:rPr>
          <w:rFonts w:hint="eastAsia" w:ascii="仿宋" w:hAnsi="仿宋" w:eastAsia="仿宋" w:cs="仿宋"/>
          <w:sz w:val="28"/>
          <w:szCs w:val="28"/>
          <w:lang w:val="en-US"/>
        </w:rPr>
        <w:t>18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个市县的培训计划，提高基层工作人员诊疗、接诊能力，为</w:t>
      </w:r>
      <w:r>
        <w:rPr>
          <w:rFonts w:hint="eastAsia" w:ascii="仿宋" w:hAnsi="仿宋" w:eastAsia="仿宋" w:cs="仿宋"/>
          <w:sz w:val="28"/>
          <w:szCs w:val="28"/>
          <w:lang w:val="en-US"/>
        </w:rPr>
        <w:t>2023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年全省各市县工作铺开做技术支持与指导 。每季度对</w:t>
      </w:r>
      <w:r>
        <w:rPr>
          <w:rFonts w:hint="eastAsia" w:ascii="仿宋" w:hAnsi="仿宋" w:eastAsia="仿宋" w:cs="仿宋"/>
          <w:sz w:val="28"/>
          <w:szCs w:val="28"/>
          <w:lang w:val="en-US"/>
        </w:rPr>
        <w:t>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个市县进行一次高血压、糖尿病、肝炎综合防治技术指导督导工作。组织形成防治联盟，组织实施高血压、糖尿病、肝炎防治任务。</w:t>
      </w:r>
    </w:p>
    <w:p>
      <w:pPr>
        <w:pStyle w:val="27"/>
        <w:spacing w:line="360" w:lineRule="auto"/>
        <w:ind w:left="0" w:firstLine="495" w:firstLineChars="177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val="en-US"/>
        </w:rPr>
        <w:t>3.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加强中心诊疗能力建设。通过选人员外出学习、调研，借鉴国内外先进技术及知识，同时邀请国内外知名专家前来授课、技术指导支持，提升省级临床诊疗中心能力，进一步辐射全省，提高基层医疗机构各专病诊治能力。</w:t>
      </w:r>
    </w:p>
    <w:p>
      <w:pPr>
        <w:pStyle w:val="27"/>
        <w:spacing w:line="360" w:lineRule="auto"/>
        <w:ind w:left="0" w:firstLine="495" w:firstLineChars="177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val="en-US"/>
        </w:rPr>
        <w:t>4.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购置设备，提升省级诊疗中心能力。肝炎防治中心计划购置</w:t>
      </w:r>
      <w:r>
        <w:rPr>
          <w:rFonts w:hint="eastAsia" w:ascii="仿宋" w:hAnsi="仿宋" w:eastAsia="仿宋" w:cs="仿宋"/>
          <w:sz w:val="28"/>
          <w:szCs w:val="28"/>
          <w:lang w:val="en-US"/>
        </w:rPr>
        <w:t>2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台肝纤维化检测仪、</w:t>
      </w:r>
      <w:r>
        <w:rPr>
          <w:rFonts w:hint="eastAsia" w:ascii="仿宋" w:hAnsi="仿宋" w:eastAsia="仿宋" w:cs="仿宋"/>
          <w:sz w:val="28"/>
          <w:szCs w:val="28"/>
          <w:lang w:val="en-US"/>
        </w:rPr>
        <w:t>1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台全自动核酸提取仪；糖尿病管理中心计划购置全自动糖化血红蛋白分析仪、红外</w:t>
      </w:r>
      <w:r>
        <w:rPr>
          <w:rFonts w:hint="eastAsia" w:ascii="仿宋" w:hAnsi="仿宋" w:eastAsia="仿宋" w:cs="仿宋"/>
          <w:sz w:val="28"/>
          <w:szCs w:val="28"/>
          <w:lang w:val="en-US"/>
        </w:rPr>
        <w:t>/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红光治疗仪、足底压力测试仪、医用负压吸引器、喷雾打磨仪等仪器设备，设备预算总计达</w:t>
      </w:r>
      <w:r>
        <w:rPr>
          <w:rFonts w:hint="eastAsia" w:ascii="仿宋" w:hAnsi="仿宋" w:eastAsia="仿宋" w:cs="仿宋"/>
          <w:sz w:val="28"/>
          <w:szCs w:val="28"/>
          <w:lang w:val="en-US"/>
        </w:rPr>
        <w:t>250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万元。</w:t>
      </w:r>
    </w:p>
    <w:p>
      <w:pPr>
        <w:pStyle w:val="27"/>
        <w:spacing w:line="360" w:lineRule="auto"/>
        <w:ind w:left="0" w:firstLine="640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val="en-US"/>
        </w:rPr>
        <w:t>5.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进一步提升工作质量。通过加强体系建设、建立全省同质化的诊断、治疗、随访管理模式；加强基层能力提升督查工作；基层专业人员前往上级医院进行规范诊疗、随访培训，提升能力建设；利用全省“三医联动”平台，形成“</w:t>
      </w:r>
      <w:r>
        <w:rPr>
          <w:rFonts w:hint="eastAsia" w:ascii="仿宋" w:hAnsi="仿宋" w:eastAsia="仿宋" w:cs="仿宋"/>
          <w:sz w:val="28"/>
          <w:szCs w:val="28"/>
          <w:lang w:val="en-US"/>
        </w:rPr>
        <w:t>2+3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”工作全省一张网，提高管理水平，借助信息平台建立患者双向转诊及信息沟通机制。</w:t>
      </w:r>
    </w:p>
    <w:p>
      <w:pPr>
        <w:pStyle w:val="27"/>
        <w:spacing w:line="360" w:lineRule="auto"/>
        <w:ind w:left="0" w:firstLine="640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val="en-US"/>
        </w:rPr>
        <w:t>6.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加强健康科普，提高健康素养。在医院公众号</w:t>
      </w:r>
      <w:r>
        <w:rPr>
          <w:rFonts w:hint="eastAsia" w:ascii="仿宋" w:hAnsi="仿宋" w:eastAsia="仿宋" w:cs="仿宋"/>
          <w:sz w:val="28"/>
          <w:szCs w:val="28"/>
          <w:lang w:val="en-US"/>
        </w:rPr>
        <w:t>/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视频号发布“</w:t>
      </w:r>
      <w:r>
        <w:rPr>
          <w:rFonts w:hint="eastAsia" w:ascii="仿宋" w:hAnsi="仿宋" w:eastAsia="仿宋" w:cs="仿宋"/>
          <w:sz w:val="28"/>
          <w:szCs w:val="28"/>
          <w:lang w:val="en-US"/>
        </w:rPr>
        <w:t>2+3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”相关专题科普推文、科普视频等，开展义诊咨询活动、加大宣传力度，增加疾病知识的普及度，让民众提升自身健康意识，提高民众高血压、糖尿病、肝炎健康知识的知晓率和治疗依从度，增强全面的参与度与主动性 。</w:t>
      </w:r>
    </w:p>
    <w:p>
      <w:pPr>
        <w:pStyle w:val="27"/>
        <w:spacing w:line="360" w:lineRule="auto"/>
        <w:ind w:left="0" w:firstLine="640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val="en-US"/>
        </w:rPr>
        <w:t>7.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定时总结，及时推进工作。各专班每周汇报工作开展情况至院感疾控部，并按时报告省卫健委。医院每季度从工作计划、各专班实施方案推进等情况开展一次工作考评会，对工作开展先进经验、存在问题进行讨论，第三季度完成</w:t>
      </w:r>
      <w:r>
        <w:rPr>
          <w:rFonts w:hint="eastAsia" w:ascii="仿宋" w:hAnsi="仿宋" w:eastAsia="仿宋" w:cs="仿宋"/>
          <w:sz w:val="28"/>
          <w:szCs w:val="28"/>
          <w:lang w:val="en-US"/>
        </w:rPr>
        <w:t>90%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的工作，第四季度开展质控及收尾，确保三个专班项目稳妥推进。</w:t>
      </w:r>
    </w:p>
    <w:p>
      <w:pPr>
        <w:pStyle w:val="16"/>
        <w:spacing w:line="360" w:lineRule="auto"/>
        <w:ind w:left="0" w:firstLine="645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（二）主要经验及做法、存在问题和建议</w:t>
      </w:r>
    </w:p>
    <w:p>
      <w:pPr>
        <w:spacing w:line="360" w:lineRule="auto"/>
        <w:ind w:left="0" w:firstLine="565" w:firstLineChars="202"/>
        <w:rPr>
          <w:rFonts w:hint="eastAsia" w:ascii="仿宋" w:hAnsi="仿宋" w:eastAsia="仿宋" w:cs="仿宋"/>
          <w:b w:val="0"/>
          <w:bCs/>
          <w:sz w:val="28"/>
          <w:szCs w:val="28"/>
          <w:lang w:val="en-US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/>
        </w:rPr>
        <w:t>1.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 xml:space="preserve">主要经验及做法 </w:t>
      </w:r>
    </w:p>
    <w:p>
      <w:pPr>
        <w:spacing w:line="360" w:lineRule="auto"/>
        <w:ind w:left="0" w:firstLine="565" w:firstLineChars="202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）科室负责人亲自上阵、带队开展工作，其工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eastAsia="zh-CN"/>
        </w:rPr>
        <w:t>作任务完成情况都较好。</w:t>
      </w:r>
    </w:p>
    <w:p>
      <w:pPr>
        <w:spacing w:line="360" w:lineRule="auto"/>
        <w:ind w:left="0" w:firstLine="565" w:firstLineChars="202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）建议各工作组组建专门团队，以“平战结合”的模式开展工作，平时开展临床工作，有项目任务时第一时间加入工作。</w:t>
      </w:r>
    </w:p>
    <w:p>
      <w:pPr>
        <w:spacing w:line="360" w:lineRule="auto"/>
        <w:ind w:left="0" w:firstLine="565" w:firstLineChars="202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）各工作中按计划开展工作，建议第三季度完成</w:t>
      </w:r>
      <w:r>
        <w:rPr>
          <w:rFonts w:hint="eastAsia" w:ascii="仿宋" w:hAnsi="仿宋" w:eastAsia="仿宋" w:cs="仿宋"/>
          <w:sz w:val="28"/>
          <w:szCs w:val="28"/>
          <w:lang w:val="en-US"/>
        </w:rPr>
        <w:t>90%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的工作，第四季度收尾及质控。</w:t>
      </w:r>
    </w:p>
    <w:p>
      <w:pPr>
        <w:pStyle w:val="27"/>
        <w:spacing w:line="360" w:lineRule="auto"/>
        <w:ind w:left="0" w:firstLine="620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val="en-US"/>
        </w:rPr>
        <w:t>2.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存在问题和建议</w:t>
      </w:r>
    </w:p>
    <w:p>
      <w:pPr>
        <w:pStyle w:val="27"/>
        <w:spacing w:line="360" w:lineRule="auto"/>
        <w:ind w:left="0" w:firstLine="640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）</w:t>
      </w:r>
      <w:r>
        <w:rPr>
          <w:rFonts w:hint="eastAsia" w:ascii="仿宋" w:hAnsi="仿宋" w:eastAsia="仿宋" w:cs="仿宋"/>
          <w:sz w:val="28"/>
          <w:szCs w:val="28"/>
          <w:lang w:val="en-US"/>
        </w:rPr>
        <w:t>2023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年全省筛查工作铺开，但</w:t>
      </w:r>
      <w:r>
        <w:rPr>
          <w:rFonts w:hint="eastAsia" w:ascii="仿宋" w:hAnsi="仿宋" w:eastAsia="仿宋" w:cs="仿宋"/>
          <w:sz w:val="28"/>
          <w:szCs w:val="28"/>
          <w:lang w:val="en-US"/>
        </w:rPr>
        <w:t>2023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年培训任务已移交给省疾控负责，省疾控回复只负责疾控人员的培训，如此非今年试点市县的基层医护人员培训将如何进行，是个问题；</w:t>
      </w:r>
    </w:p>
    <w:p>
      <w:pPr>
        <w:pStyle w:val="27"/>
        <w:spacing w:line="360" w:lineRule="auto"/>
        <w:ind w:left="0" w:firstLine="640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建议：由省疾控统一组织各市县疾控人员和基层医务人员的相关培训，专班组组织专家提供师资支持。</w:t>
      </w:r>
    </w:p>
    <w:p>
      <w:pPr>
        <w:pStyle w:val="27"/>
        <w:spacing w:line="360" w:lineRule="auto"/>
        <w:ind w:left="0" w:firstLine="640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）信息系统平台尚未稳定及全面推广，尚不能数据共享，专家组不能即时了解各市县工作开展情况；</w:t>
      </w:r>
    </w:p>
    <w:p>
      <w:pPr>
        <w:pStyle w:val="27"/>
        <w:spacing w:line="360" w:lineRule="auto"/>
        <w:ind w:left="0" w:firstLine="640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建议：省疾控加强各级信息系统平台的建设，组织应用培训，逐步推广以实现数据共享。</w:t>
      </w:r>
    </w:p>
    <w:p>
      <w:pPr>
        <w:pStyle w:val="27"/>
        <w:spacing w:line="360" w:lineRule="auto"/>
        <w:ind w:left="0" w:firstLine="640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）各专班工作人员本职临床工作繁重，下基层积极性不高，激励政策及各项保障配套不全。需政府及医院领导予以政策支持并给予引导，激励工作人员积极下基层促进项目开展。</w:t>
      </w:r>
    </w:p>
    <w:p>
      <w:pPr>
        <w:pStyle w:val="27"/>
        <w:spacing w:line="360" w:lineRule="auto"/>
        <w:ind w:left="0" w:firstLine="640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）疾病知识普及性低，大众的主动参与度不高，且存在隐私泄露等问题，导致许多居民对疾病筛查工作不积极、主动；</w:t>
      </w:r>
    </w:p>
    <w:p>
      <w:pPr>
        <w:pStyle w:val="27"/>
        <w:spacing w:line="360" w:lineRule="auto"/>
        <w:ind w:left="0" w:firstLine="640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建议：采用多渠道多形式加大宣传力度：突出政府决策的宣传，提高民众信任度，同时增加疾病知识的普及度，让民众提升自身健康意识，主动参与到疾病健康宣教的活动中来。</w:t>
      </w:r>
    </w:p>
    <w:p>
      <w:pPr>
        <w:pStyle w:val="27"/>
        <w:spacing w:line="360" w:lineRule="auto"/>
        <w:ind w:left="0" w:firstLine="640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）病毒性肝炎既往不属于公卫管理项目，故而没有成熟的流程及套路可参考借鉴，基层医护人员常感觉无从下手、力不从心；</w:t>
      </w:r>
    </w:p>
    <w:p>
      <w:pPr>
        <w:pStyle w:val="27"/>
        <w:spacing w:line="360" w:lineRule="auto"/>
        <w:ind w:left="0" w:firstLine="640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建议：专家组成员需与全国及全球肝炎领域相关专家们多沟通学习，借鉴他人的成功经验，结合海南实际情况，完善肝炎管理的流程及细节。</w:t>
      </w:r>
    </w:p>
    <w:p>
      <w:pPr>
        <w:pStyle w:val="16"/>
        <w:spacing w:line="360" w:lineRule="auto"/>
        <w:ind w:left="0" w:firstLine="826" w:firstLineChars="295"/>
        <w:rPr>
          <w:rFonts w:hint="eastAsia" w:ascii="仿宋" w:hAnsi="仿宋" w:eastAsia="仿宋" w:cs="仿宋"/>
          <w:sz w:val="28"/>
          <w:szCs w:val="28"/>
          <w:lang w:val="en-US"/>
        </w:rPr>
      </w:pPr>
    </w:p>
    <w:sectPr>
      <w:pgSz w:w="11906" w:h="16839"/>
      <w:pgMar w:top="1440" w:right="1800" w:bottom="1440" w:left="1800" w:header="851" w:footer="992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_GB2312">
    <w:altName w:val="仿宋"/>
    <w:panose1 w:val="020106090300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001010101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1AC5E4"/>
    <w:multiLevelType w:val="singleLevel"/>
    <w:tmpl w:val="9F1AC5E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A4401F9D"/>
    <w:multiLevelType w:val="singleLevel"/>
    <w:tmpl w:val="A4401F9D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bordersDoNotSurroundHeader w:val="1"/>
  <w:bordersDoNotSurroundFooter w:val="1"/>
  <w:documentProtection w:enforcement="0"/>
  <w:defaultTabStop w:val="420"/>
  <w:drawingGridVerticalSpacing w:val="157"/>
  <w:displayHorizontalDrawingGridEvery w:val="0"/>
  <w:displayVerticalDrawingGridEvery w:val="2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25025"/>
    <w:rsid w:val="0E634AEC"/>
    <w:rsid w:val="24881C41"/>
    <w:rsid w:val="256D52A4"/>
    <w:rsid w:val="27F1539D"/>
    <w:rsid w:val="27FD09E6"/>
    <w:rsid w:val="30DD2BF7"/>
    <w:rsid w:val="34791E3C"/>
    <w:rsid w:val="382B6EDB"/>
    <w:rsid w:val="5A1D3C94"/>
    <w:rsid w:val="5F3A23FB"/>
    <w:rsid w:val="6B4A4BB3"/>
    <w:rsid w:val="6E1707C8"/>
    <w:rsid w:val="6E1A48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99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99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/>
    </w:rPr>
  </w:style>
  <w:style w:type="paragraph" w:styleId="2">
    <w:name w:val="heading 1"/>
    <w:basedOn w:val="1"/>
    <w:next w:val="1"/>
    <w:link w:val="15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/>
    </w:rPr>
  </w:style>
  <w:style w:type="paragraph" w:styleId="3">
    <w:name w:val="heading 2"/>
    <w:basedOn w:val="1"/>
    <w:next w:val="1"/>
    <w:link w:val="22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/>
    </w:rPr>
  </w:style>
  <w:style w:type="paragraph" w:styleId="4">
    <w:name w:val="heading 3"/>
    <w:basedOn w:val="1"/>
    <w:next w:val="1"/>
    <w:link w:val="23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/>
    </w:rPr>
  </w:style>
  <w:style w:type="paragraph" w:styleId="5">
    <w:name w:val="heading 4"/>
    <w:basedOn w:val="1"/>
    <w:next w:val="1"/>
    <w:link w:val="14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  <w:outlineLvl w:val="3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/>
    </w:rPr>
  </w:style>
  <w:style w:type="paragraph" w:styleId="6">
    <w:name w:val="heading 5"/>
    <w:basedOn w:val="1"/>
    <w:next w:val="1"/>
    <w:link w:val="17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  <w:outlineLvl w:val="4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/>
    </w:rPr>
  </w:style>
  <w:style w:type="paragraph" w:styleId="7">
    <w:name w:val="heading 6"/>
    <w:basedOn w:val="1"/>
    <w:next w:val="1"/>
    <w:link w:val="24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  <w:outlineLvl w:val="5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/>
    </w:rPr>
  </w:style>
  <w:style w:type="character" w:default="1" w:styleId="13">
    <w:name w:val="Default Paragraph Font"/>
    <w:qFormat/>
    <w:uiPriority w:val="99"/>
  </w:style>
  <w:style w:type="table" w:default="1" w:styleId="12">
    <w:name w:val="Normal Table"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er"/>
    <w:basedOn w:val="1"/>
    <w:link w:val="26"/>
    <w:qFormat/>
    <w:uiPriority w:val="0"/>
    <w:pPr>
      <w:keepNext w:val="0"/>
      <w:keepLines w:val="0"/>
      <w:widowControl/>
      <w:suppressLineNumbers w:val="0"/>
      <w:tabs>
        <w:tab w:val="center" w:pos="4153"/>
        <w:tab w:val="right" w:pos="8306"/>
      </w:tabs>
      <w:snapToGrid w:val="0"/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18"/>
      <w:szCs w:val="18"/>
      <w:lang w:val="en-US" w:eastAsia="zh-CN"/>
    </w:rPr>
  </w:style>
  <w:style w:type="paragraph" w:styleId="9">
    <w:name w:val="header"/>
    <w:basedOn w:val="1"/>
    <w:link w:val="18"/>
    <w:qFormat/>
    <w:uiPriority w:val="0"/>
    <w:pPr>
      <w:keepNext w:val="0"/>
      <w:keepLines w:val="0"/>
      <w:widowControl/>
      <w:suppressLineNumbers w:val="0"/>
      <w:pBdr>
        <w:top w:val="none" w:color="auto" w:sz="0" w:space="0"/>
        <w:left w:val="none" w:color="auto" w:sz="0" w:space="0"/>
        <w:bottom w:val="single" w:color="auto" w:sz="6" w:space="1"/>
        <w:right w:val="none" w:color="auto" w:sz="0" w:space="0"/>
      </w:pBdr>
      <w:tabs>
        <w:tab w:val="center" w:pos="4153"/>
        <w:tab w:val="right" w:pos="8306"/>
      </w:tabs>
      <w:snapToGrid w:val="0"/>
      <w:spacing w:before="0" w:beforeAutospacing="0" w:after="0" w:afterAutospacing="0"/>
      <w:ind w:left="0" w:right="0"/>
      <w:jc w:val="center"/>
    </w:pPr>
    <w:rPr>
      <w:rFonts w:hint="eastAsia" w:ascii="宋体" w:hAnsi="宋体" w:eastAsia="宋体" w:cs="宋体"/>
      <w:kern w:val="0"/>
      <w:sz w:val="18"/>
      <w:szCs w:val="18"/>
      <w:lang w:val="en-US" w:eastAsia="zh-CN"/>
    </w:rPr>
  </w:style>
  <w:style w:type="paragraph" w:styleId="10">
    <w:name w:val="HTML Preformatted"/>
    <w:basedOn w:val="1"/>
    <w:link w:val="25"/>
    <w:qFormat/>
    <w:uiPriority w:val="0"/>
    <w:pPr>
      <w:keepNext w:val="0"/>
      <w:keepLines w:val="0"/>
      <w:widowControl/>
      <w:suppressLineNumbers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/>
    </w:rPr>
  </w:style>
  <w:style w:type="paragraph" w:styleId="11">
    <w:name w:val="Normal (Web)"/>
    <w:basedOn w:val="1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/>
    </w:rPr>
  </w:style>
  <w:style w:type="character" w:customStyle="1" w:styleId="14">
    <w:name w:val="标题 4 Char"/>
    <w:basedOn w:val="13"/>
    <w:link w:val="5"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character" w:customStyle="1" w:styleId="15">
    <w:name w:val="标题 1 Char"/>
    <w:basedOn w:val="13"/>
    <w:link w:val="2"/>
    <w:qFormat/>
    <w:uiPriority w:val="0"/>
    <w:rPr>
      <w:rFonts w:hint="eastAsia" w:ascii="宋体" w:hAnsi="宋体" w:eastAsia="宋体" w:cs="宋体"/>
      <w:b/>
      <w:bCs/>
      <w:kern w:val="44"/>
      <w:sz w:val="44"/>
      <w:szCs w:val="44"/>
    </w:rPr>
  </w:style>
  <w:style w:type="paragraph" w:customStyle="1" w:styleId="16">
    <w:name w:val="普通(网站) Char"/>
    <w:basedOn w:val="1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/>
    </w:rPr>
  </w:style>
  <w:style w:type="character" w:customStyle="1" w:styleId="17">
    <w:name w:val="标题 5 Char"/>
    <w:basedOn w:val="13"/>
    <w:link w:val="6"/>
    <w:qFormat/>
    <w:uiPriority w:val="0"/>
    <w:rPr>
      <w:rFonts w:hint="eastAsia" w:ascii="宋体" w:hAnsi="宋体" w:eastAsia="宋体" w:cs="宋体"/>
      <w:b/>
      <w:bCs/>
      <w:sz w:val="28"/>
      <w:szCs w:val="28"/>
    </w:rPr>
  </w:style>
  <w:style w:type="character" w:customStyle="1" w:styleId="18">
    <w:name w:val="页眉 Char"/>
    <w:basedOn w:val="13"/>
    <w:link w:val="9"/>
    <w:qFormat/>
    <w:uiPriority w:val="0"/>
    <w:rPr>
      <w:rFonts w:hint="eastAsia" w:ascii="宋体" w:hAnsi="宋体" w:eastAsia="宋体" w:cs="宋体"/>
      <w:sz w:val="18"/>
      <w:szCs w:val="18"/>
    </w:rPr>
  </w:style>
  <w:style w:type="character" w:customStyle="1" w:styleId="19">
    <w:name w:val="16"/>
    <w:basedOn w:val="13"/>
    <w:qFormat/>
    <w:uiPriority w:val="0"/>
    <w:rPr>
      <w:rFonts w:hint="default" w:ascii="Times New Roman" w:hAnsi="Times New Roman" w:cs="Times New Roman"/>
    </w:rPr>
  </w:style>
  <w:style w:type="paragraph" w:customStyle="1" w:styleId="20">
    <w:name w:val="HTML 预设格式 Char1"/>
    <w:basedOn w:val="1"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/>
    </w:rPr>
  </w:style>
  <w:style w:type="character" w:customStyle="1" w:styleId="21">
    <w:name w:val="15"/>
    <w:basedOn w:val="13"/>
    <w:qFormat/>
    <w:uiPriority w:val="0"/>
    <w:rPr>
      <w:rFonts w:hint="default" w:ascii="Times New Roman" w:hAnsi="Times New Roman" w:cs="Times New Roman"/>
      <w:b/>
    </w:rPr>
  </w:style>
  <w:style w:type="character" w:customStyle="1" w:styleId="22">
    <w:name w:val="标题 2 Char"/>
    <w:basedOn w:val="13"/>
    <w:link w:val="3"/>
    <w:qFormat/>
    <w:uiPriority w:val="0"/>
    <w:rPr>
      <w:rFonts w:hint="default" w:ascii="Cambria" w:hAnsi="Cambria" w:eastAsia="宋体" w:cs="Times New Roman"/>
      <w:b/>
      <w:bCs/>
      <w:sz w:val="32"/>
      <w:szCs w:val="32"/>
    </w:rPr>
  </w:style>
  <w:style w:type="character" w:customStyle="1" w:styleId="23">
    <w:name w:val="标题 3 Char"/>
    <w:basedOn w:val="13"/>
    <w:link w:val="4"/>
    <w:qFormat/>
    <w:uiPriority w:val="0"/>
    <w:rPr>
      <w:rFonts w:hint="eastAsia" w:ascii="宋体" w:hAnsi="宋体" w:eastAsia="宋体" w:cs="宋体"/>
      <w:b/>
      <w:bCs/>
      <w:sz w:val="32"/>
      <w:szCs w:val="32"/>
    </w:rPr>
  </w:style>
  <w:style w:type="character" w:customStyle="1" w:styleId="24">
    <w:name w:val="标题 6 Char"/>
    <w:basedOn w:val="13"/>
    <w:link w:val="7"/>
    <w:qFormat/>
    <w:uiPriority w:val="0"/>
    <w:rPr>
      <w:rFonts w:hint="default" w:ascii="Cambria" w:hAnsi="Cambria" w:eastAsia="宋体" w:cs="Times New Roman"/>
      <w:b/>
      <w:bCs/>
      <w:sz w:val="24"/>
      <w:szCs w:val="24"/>
    </w:rPr>
  </w:style>
  <w:style w:type="character" w:customStyle="1" w:styleId="25">
    <w:name w:val="HTML 预设格式 Char"/>
    <w:basedOn w:val="13"/>
    <w:link w:val="10"/>
    <w:qFormat/>
    <w:uiPriority w:val="0"/>
    <w:rPr>
      <w:rFonts w:ascii="Courier New" w:hAnsi="Courier New" w:eastAsia="宋体" w:cs="Courier New"/>
    </w:rPr>
  </w:style>
  <w:style w:type="character" w:customStyle="1" w:styleId="26">
    <w:name w:val="页脚 Char"/>
    <w:basedOn w:val="13"/>
    <w:link w:val="8"/>
    <w:uiPriority w:val="0"/>
    <w:rPr>
      <w:rFonts w:hint="eastAsia" w:ascii="宋体" w:hAnsi="宋体" w:eastAsia="宋体" w:cs="宋体"/>
      <w:sz w:val="18"/>
      <w:szCs w:val="18"/>
    </w:rPr>
  </w:style>
  <w:style w:type="paragraph" w:customStyle="1" w:styleId="27">
    <w:name w:val="BodyText1I2"/>
    <w:basedOn w:val="1"/>
    <w:uiPriority w:val="0"/>
    <w:pPr>
      <w:keepNext w:val="0"/>
      <w:keepLines w:val="0"/>
      <w:widowControl/>
      <w:suppressLineNumbers w:val="0"/>
      <w:suppressAutoHyphens/>
      <w:adjustRightInd w:val="0"/>
      <w:snapToGrid w:val="0"/>
      <w:spacing w:before="0" w:beforeAutospacing="0" w:after="200" w:afterAutospacing="0" w:line="276" w:lineRule="auto"/>
      <w:ind w:left="0" w:right="0" w:firstLine="420" w:firstLineChars="200"/>
      <w:jc w:val="both"/>
    </w:pPr>
    <w:rPr>
      <w:rFonts w:hint="default" w:ascii="Times New Roman" w:hAnsi="Times New Roman" w:eastAsia="仿宋_GB2312" w:cs="宋体"/>
      <w:kern w:val="0"/>
      <w:sz w:val="32"/>
      <w:szCs w:val="22"/>
      <w:lang w:val="en-US" w:eastAsia="zh-CN"/>
    </w:rPr>
  </w:style>
  <w:style w:type="character" w:customStyle="1" w:styleId="28">
    <w:name w:val="10"/>
    <w:basedOn w:val="13"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3919</Words>
  <Characters>4129</Characters>
  <Paragraphs>71</Paragraphs>
  <TotalTime>10</TotalTime>
  <ScaleCrop>false</ScaleCrop>
  <LinksUpToDate>false</LinksUpToDate>
  <CharactersWithSpaces>4165</CharactersWithSpaces>
  <Application>WPS Office_11.8.2.10912_F1E327BC-269C-435d-A152-05C5408002CA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2411-12-29T16:00:00Z</dcterms:created>
  <dc:creator>Lenovo</dc:creator>
  <cp:lastModifiedBy>Lenovo</cp:lastModifiedBy>
  <dcterms:modified xsi:type="dcterms:W3CDTF">2023-04-18T09:41:53Z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e0d9a1954de846b88445f0e156df43b9_23</vt:lpwstr>
  </property>
</Properties>
</file>